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rPr>
          <w:rFonts w:ascii="黑体" w:hAnsi="黑体" w:eastAsia="黑体"/>
          <w:b/>
          <w:sz w:val="48"/>
          <w:szCs w:val="52"/>
        </w:rPr>
      </w:pPr>
      <w:r>
        <w:rPr>
          <w:rFonts w:hint="eastAsia" w:ascii="黑体" w:hAnsi="黑体" w:eastAsia="黑体"/>
          <w:b/>
          <w:sz w:val="48"/>
          <w:szCs w:val="52"/>
        </w:rPr>
        <w:t xml:space="preserve">                                                 </w:t>
      </w:r>
    </w:p>
    <w:p>
      <w:pPr>
        <w:ind w:firstLine="0" w:firstLineChars="0"/>
        <w:jc w:val="center"/>
        <w:rPr>
          <w:rFonts w:hint="eastAsia" w:ascii="黑体" w:hAnsi="黑体" w:eastAsia="黑体"/>
          <w:b/>
          <w:sz w:val="48"/>
          <w:szCs w:val="52"/>
        </w:rPr>
      </w:pPr>
    </w:p>
    <w:p>
      <w:pPr>
        <w:ind w:firstLine="0" w:firstLineChars="0"/>
        <w:jc w:val="center"/>
        <w:rPr>
          <w:rFonts w:hint="eastAsia" w:ascii="黑体" w:hAnsi="黑体" w:eastAsia="黑体"/>
          <w:b/>
          <w:sz w:val="48"/>
          <w:szCs w:val="52"/>
        </w:rPr>
      </w:pPr>
    </w:p>
    <w:p>
      <w:pPr>
        <w:ind w:firstLine="0" w:firstLineChars="0"/>
        <w:jc w:val="center"/>
        <w:rPr>
          <w:rFonts w:hint="eastAsia" w:ascii="黑体" w:hAnsi="黑体" w:eastAsia="黑体"/>
          <w:b/>
          <w:sz w:val="48"/>
          <w:szCs w:val="52"/>
        </w:rPr>
      </w:pPr>
    </w:p>
    <w:p>
      <w:pPr>
        <w:ind w:firstLine="0" w:firstLineChars="0"/>
        <w:jc w:val="center"/>
        <w:rPr>
          <w:rFonts w:hint="eastAsia" w:ascii="黑体" w:hAnsi="黑体" w:eastAsia="黑体"/>
          <w:b/>
          <w:sz w:val="48"/>
          <w:szCs w:val="52"/>
        </w:rPr>
      </w:pPr>
    </w:p>
    <w:p>
      <w:pPr>
        <w:ind w:firstLine="0" w:firstLineChars="0"/>
        <w:jc w:val="center"/>
        <w:rPr>
          <w:rFonts w:ascii="黑体" w:hAnsi="黑体" w:eastAsia="黑体"/>
          <w:b/>
          <w:sz w:val="48"/>
          <w:szCs w:val="52"/>
        </w:rPr>
      </w:pPr>
      <w:r>
        <w:rPr>
          <w:rFonts w:hint="eastAsia" w:ascii="黑体" w:hAnsi="黑体" w:eastAsia="黑体"/>
          <w:b/>
          <w:sz w:val="48"/>
          <w:szCs w:val="52"/>
        </w:rPr>
        <w:t>调兵山市国民经济和社会发展</w:t>
      </w:r>
    </w:p>
    <w:p>
      <w:pPr>
        <w:ind w:firstLine="0" w:firstLineChars="0"/>
        <w:jc w:val="center"/>
        <w:rPr>
          <w:rFonts w:ascii="黑体" w:hAnsi="黑体" w:eastAsia="黑体"/>
          <w:b/>
          <w:bCs/>
          <w:sz w:val="48"/>
        </w:rPr>
      </w:pPr>
      <w:r>
        <w:rPr>
          <w:rFonts w:hint="eastAsia" w:ascii="黑体" w:hAnsi="黑体" w:eastAsia="黑体"/>
          <w:b/>
          <w:sz w:val="48"/>
          <w:szCs w:val="52"/>
        </w:rPr>
        <w:t>第十四个五年规划</w:t>
      </w:r>
      <w:r>
        <w:rPr>
          <w:rFonts w:ascii="黑体" w:hAnsi="黑体" w:eastAsia="黑体"/>
          <w:b/>
          <w:bCs/>
          <w:sz w:val="48"/>
        </w:rPr>
        <w:t>和二〇三五年</w:t>
      </w:r>
    </w:p>
    <w:p>
      <w:pPr>
        <w:ind w:firstLine="0" w:firstLineChars="0"/>
        <w:jc w:val="center"/>
        <w:rPr>
          <w:rStyle w:val="32"/>
          <w:rFonts w:ascii="黑体" w:hAnsi="黑体" w:eastAsia="黑体"/>
          <w:b w:val="0"/>
          <w:bCs w:val="0"/>
          <w:sz w:val="48"/>
          <w:szCs w:val="52"/>
        </w:rPr>
      </w:pPr>
      <w:r>
        <w:rPr>
          <w:rFonts w:ascii="黑体" w:hAnsi="黑体" w:eastAsia="黑体"/>
          <w:b/>
          <w:bCs/>
          <w:sz w:val="48"/>
        </w:rPr>
        <w:t>远景目标纲要</w:t>
      </w:r>
    </w:p>
    <w:p>
      <w:pPr>
        <w:ind w:firstLine="0" w:firstLineChars="0"/>
        <w:jc w:val="center"/>
        <w:rPr>
          <w:rFonts w:ascii="华文中宋" w:hAnsi="华文中宋" w:eastAsia="华文中宋"/>
          <w:b/>
          <w:sz w:val="52"/>
        </w:rPr>
      </w:pPr>
    </w:p>
    <w:p>
      <w:pPr>
        <w:ind w:firstLine="0" w:firstLineChars="0"/>
        <w:jc w:val="center"/>
        <w:rPr>
          <w:rFonts w:ascii="华文中宋" w:hAnsi="华文中宋" w:eastAsia="华文中宋"/>
          <w:b/>
          <w:sz w:val="52"/>
        </w:rPr>
      </w:pPr>
    </w:p>
    <w:p>
      <w:pPr>
        <w:ind w:firstLine="0" w:firstLineChars="0"/>
        <w:jc w:val="center"/>
        <w:rPr>
          <w:rFonts w:ascii="华文中宋" w:hAnsi="华文中宋" w:eastAsia="华文中宋"/>
          <w:b/>
          <w:sz w:val="52"/>
        </w:rPr>
      </w:pPr>
    </w:p>
    <w:p>
      <w:pPr>
        <w:ind w:firstLine="0" w:firstLineChars="0"/>
        <w:jc w:val="center"/>
        <w:rPr>
          <w:rFonts w:ascii="华文中宋" w:hAnsi="华文中宋" w:eastAsia="华文中宋"/>
          <w:b/>
          <w:sz w:val="52"/>
        </w:rPr>
      </w:pPr>
    </w:p>
    <w:p>
      <w:pPr>
        <w:ind w:firstLine="0" w:firstLineChars="0"/>
        <w:jc w:val="center"/>
        <w:rPr>
          <w:rFonts w:ascii="华文中宋" w:hAnsi="华文中宋" w:eastAsia="华文中宋"/>
          <w:b/>
          <w:sz w:val="52"/>
        </w:rPr>
      </w:pPr>
    </w:p>
    <w:p>
      <w:pPr>
        <w:pStyle w:val="2"/>
        <w:ind w:firstLine="360"/>
        <w:sectPr>
          <w:footerReference r:id="rId6" w:type="first"/>
          <w:footerReference r:id="rId5" w:type="default"/>
          <w:pgSz w:w="11906" w:h="16838"/>
          <w:pgMar w:top="1361" w:right="1417" w:bottom="1247" w:left="1417" w:header="851" w:footer="992" w:gutter="0"/>
          <w:cols w:space="425" w:num="1"/>
          <w:titlePg/>
          <w:docGrid w:type="lines" w:linePitch="381" w:charSpace="0"/>
        </w:sectPr>
      </w:pPr>
    </w:p>
    <w:p>
      <w:pPr>
        <w:pStyle w:val="3"/>
        <w:spacing w:before="0" w:afterLines="10" w:line="360" w:lineRule="auto"/>
        <w:jc w:val="both"/>
        <w:rPr>
          <w:rFonts w:ascii="Calibri" w:hAnsi="Calibri" w:cs="Calibri"/>
          <w:sz w:val="32"/>
        </w:rPr>
      </w:pPr>
      <w:bookmarkStart w:id="0" w:name="_Toc58853070"/>
      <w:bookmarkStart w:id="1" w:name="_Toc57140548"/>
      <w:bookmarkStart w:id="2" w:name="_Toc53476651"/>
    </w:p>
    <w:p>
      <w:pPr>
        <w:pStyle w:val="3"/>
        <w:spacing w:before="0" w:afterLines="10" w:line="600" w:lineRule="exact"/>
        <w:rPr>
          <w:sz w:val="32"/>
        </w:rPr>
      </w:pPr>
      <w:r>
        <w:rPr>
          <w:rFonts w:hint="eastAsia"/>
          <w:sz w:val="32"/>
        </w:rPr>
        <w:t>目 录</w:t>
      </w:r>
      <w:bookmarkEnd w:id="0"/>
      <w:bookmarkEnd w:id="1"/>
      <w:bookmarkEnd w:id="2"/>
    </w:p>
    <w:p>
      <w:pPr>
        <w:ind w:firstLine="640"/>
      </w:pPr>
    </w:p>
    <w:p>
      <w:pPr>
        <w:pStyle w:val="21"/>
        <w:tabs>
          <w:tab w:val="right" w:leader="dot" w:pos="8296"/>
        </w:tabs>
        <w:spacing w:before="0" w:after="0" w:line="600" w:lineRule="exact"/>
        <w:ind w:firstLine="0" w:firstLineChars="0"/>
        <w:rPr>
          <w:rFonts w:ascii="黑体" w:hAnsi="黑体" w:eastAsia="黑体"/>
          <w:b w:val="0"/>
          <w:bCs w:val="0"/>
          <w:caps w:val="0"/>
          <w:sz w:val="24"/>
          <w:szCs w:val="24"/>
        </w:rPr>
      </w:pPr>
      <w:r>
        <w:rPr>
          <w:rFonts w:ascii="仿宋_GB2312" w:hAnsi="仿宋_GB2312" w:eastAsia="仿宋_GB2312" w:cs="仿宋_GB2312"/>
          <w:b w:val="0"/>
          <w:bCs w:val="0"/>
          <w:sz w:val="24"/>
          <w:szCs w:val="24"/>
        </w:rPr>
        <w:fldChar w:fldCharType="begin"/>
      </w:r>
      <w:r>
        <w:rPr>
          <w:rFonts w:ascii="仿宋_GB2312" w:hAnsi="仿宋_GB2312" w:eastAsia="仿宋_GB2312" w:cs="仿宋_GB2312"/>
          <w:b w:val="0"/>
          <w:bCs w:val="0"/>
          <w:sz w:val="24"/>
          <w:szCs w:val="24"/>
        </w:rPr>
        <w:instrText xml:space="preserve"> </w:instrText>
      </w:r>
      <w:r>
        <w:rPr>
          <w:rFonts w:hint="eastAsia" w:ascii="仿宋_GB2312" w:hAnsi="仿宋_GB2312" w:eastAsia="仿宋_GB2312" w:cs="仿宋_GB2312"/>
          <w:b w:val="0"/>
          <w:bCs w:val="0"/>
          <w:sz w:val="24"/>
          <w:szCs w:val="24"/>
        </w:rPr>
        <w:instrText xml:space="preserve">TOC \o "1-2" \h \z \u</w:instrText>
      </w:r>
      <w:r>
        <w:rPr>
          <w:rFonts w:ascii="仿宋_GB2312" w:hAnsi="仿宋_GB2312" w:eastAsia="仿宋_GB2312" w:cs="仿宋_GB2312"/>
          <w:b w:val="0"/>
          <w:bCs w:val="0"/>
          <w:sz w:val="24"/>
          <w:szCs w:val="24"/>
        </w:rPr>
        <w:instrText xml:space="preserve"> </w:instrText>
      </w:r>
      <w:r>
        <w:rPr>
          <w:rFonts w:ascii="仿宋_GB2312" w:hAnsi="仿宋_GB2312" w:eastAsia="仿宋_GB2312" w:cs="仿宋_GB2312"/>
          <w:b w:val="0"/>
          <w:bCs w:val="0"/>
          <w:sz w:val="24"/>
          <w:szCs w:val="24"/>
        </w:rPr>
        <w:fldChar w:fldCharType="separate"/>
      </w:r>
      <w:r>
        <w:fldChar w:fldCharType="begin"/>
      </w:r>
      <w:r>
        <w:instrText xml:space="preserve"> HYPERLINK \l "_Toc58853071" </w:instrText>
      </w:r>
      <w:r>
        <w:fldChar w:fldCharType="separate"/>
      </w:r>
      <w:r>
        <w:rPr>
          <w:rStyle w:val="35"/>
          <w:rFonts w:hint="eastAsia" w:ascii="黑体" w:hAnsi="黑体" w:eastAsia="黑体"/>
          <w:b w:val="0"/>
          <w:bCs w:val="0"/>
          <w:sz w:val="24"/>
          <w:szCs w:val="24"/>
        </w:rPr>
        <w:t>第一章</w:t>
      </w:r>
      <w:r>
        <w:rPr>
          <w:rStyle w:val="35"/>
          <w:rFonts w:ascii="黑体" w:hAnsi="黑体" w:eastAsia="黑体"/>
          <w:b w:val="0"/>
          <w:bCs w:val="0"/>
          <w:sz w:val="24"/>
          <w:szCs w:val="24"/>
        </w:rPr>
        <w:t xml:space="preserve"> </w:t>
      </w:r>
      <w:r>
        <w:rPr>
          <w:rStyle w:val="35"/>
          <w:rFonts w:hint="eastAsia" w:ascii="黑体" w:hAnsi="黑体" w:eastAsia="黑体"/>
          <w:b w:val="0"/>
          <w:bCs w:val="0"/>
          <w:sz w:val="24"/>
          <w:szCs w:val="24"/>
        </w:rPr>
        <w:t>基本实现小康社会建设任务</w:t>
      </w:r>
      <w:r>
        <w:rPr>
          <w:rFonts w:ascii="黑体" w:hAnsi="黑体" w:eastAsia="黑体"/>
          <w:b w:val="0"/>
          <w:bCs w:val="0"/>
          <w:sz w:val="24"/>
          <w:szCs w:val="24"/>
        </w:rPr>
        <w:tab/>
      </w:r>
      <w:r>
        <w:rPr>
          <w:rFonts w:eastAsia="仿宋_GB2312" w:cs="仿宋_GB2312"/>
          <w:b w:val="0"/>
          <w:bCs w:val="0"/>
          <w:sz w:val="24"/>
          <w:szCs w:val="24"/>
        </w:rPr>
        <w:fldChar w:fldCharType="begin"/>
      </w:r>
      <w:r>
        <w:rPr>
          <w:rFonts w:eastAsia="仿宋_GB2312" w:cs="仿宋_GB2312"/>
          <w:b w:val="0"/>
          <w:bCs w:val="0"/>
          <w:sz w:val="24"/>
          <w:szCs w:val="24"/>
        </w:rPr>
        <w:instrText xml:space="preserve"> PAGEREF _Toc58853071 \h </w:instrText>
      </w:r>
      <w:r>
        <w:rPr>
          <w:rFonts w:eastAsia="仿宋_GB2312" w:cs="仿宋_GB2312"/>
          <w:b w:val="0"/>
          <w:bCs w:val="0"/>
          <w:sz w:val="24"/>
          <w:szCs w:val="24"/>
        </w:rPr>
        <w:fldChar w:fldCharType="separate"/>
      </w:r>
      <w:r>
        <w:rPr>
          <w:rFonts w:eastAsia="仿宋_GB2312" w:cs="仿宋_GB2312"/>
          <w:b w:val="0"/>
          <w:bCs w:val="0"/>
          <w:sz w:val="24"/>
          <w:szCs w:val="24"/>
        </w:rPr>
        <w:t>1</w:t>
      </w:r>
      <w:r>
        <w:rPr>
          <w:rFonts w:eastAsia="仿宋_GB2312" w:cs="仿宋_GB2312"/>
          <w:b w:val="0"/>
          <w:bCs w:val="0"/>
          <w:sz w:val="24"/>
          <w:szCs w:val="24"/>
        </w:rPr>
        <w:fldChar w:fldCharType="end"/>
      </w:r>
      <w:r>
        <w:rPr>
          <w:rFonts w:eastAsia="仿宋_GB2312" w:cs="仿宋_GB2312"/>
          <w:b w:val="0"/>
          <w:bCs w:val="0"/>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"_Toc58853072" </w:instrText>
      </w:r>
      <w:r>
        <w:fldChar w:fldCharType="separate"/>
      </w:r>
      <w:r>
        <w:rPr>
          <w:rStyle w:val="35"/>
          <w:rFonts w:hint="eastAsia" w:ascii="楷体" w:hAnsi="楷体" w:eastAsia="楷体" w:cs="Times New Roman"/>
          <w:sz w:val="24"/>
          <w:szCs w:val="24"/>
        </w:rPr>
        <w:t>第一节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发展基础</w:t>
      </w:r>
      <w:r>
        <w:rPr>
          <w:sz w:val="24"/>
          <w:szCs w:val="24"/>
        </w:rPr>
        <w:tab/>
      </w:r>
      <w:r>
        <w:rPr>
          <w:rFonts w:eastAsia="黑体" w:cs="黑体"/>
          <w:sz w:val="24"/>
          <w:szCs w:val="24"/>
        </w:rPr>
        <w:fldChar w:fldCharType="begin"/>
      </w:r>
      <w:r>
        <w:rPr>
          <w:rFonts w:eastAsia="黑体" w:cs="黑体"/>
          <w:sz w:val="24"/>
          <w:szCs w:val="24"/>
        </w:rPr>
        <w:instrText xml:space="preserve"> PAGEREF _Toc58853072 \h </w:instrText>
      </w:r>
      <w:r>
        <w:rPr>
          <w:rFonts w:eastAsia="黑体" w:cs="黑体"/>
          <w:sz w:val="24"/>
          <w:szCs w:val="24"/>
        </w:rPr>
        <w:fldChar w:fldCharType="separate"/>
      </w:r>
      <w:r>
        <w:rPr>
          <w:rFonts w:eastAsia="黑体" w:cs="黑体"/>
          <w:sz w:val="24"/>
          <w:szCs w:val="24"/>
        </w:rPr>
        <w:t>1</w:t>
      </w:r>
      <w:r>
        <w:rPr>
          <w:rFonts w:eastAsia="黑体" w:cs="黑体"/>
          <w:sz w:val="24"/>
          <w:szCs w:val="24"/>
        </w:rPr>
        <w:fldChar w:fldCharType="end"/>
      </w:r>
      <w:r>
        <w:rPr>
          <w:rFonts w:eastAsia="黑体" w:cs="黑体"/>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"_Toc58853073" </w:instrText>
      </w:r>
      <w:r>
        <w:fldChar w:fldCharType="separate"/>
      </w:r>
      <w:r>
        <w:rPr>
          <w:rStyle w:val="35"/>
          <w:rFonts w:hint="eastAsia" w:ascii="楷体" w:hAnsi="楷体" w:eastAsia="楷体" w:cs="Times New Roman"/>
          <w:sz w:val="24"/>
          <w:szCs w:val="24"/>
        </w:rPr>
        <w:t>第二节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发展特征</w:t>
      </w:r>
      <w:r>
        <w:rPr>
          <w:sz w:val="24"/>
          <w:szCs w:val="24"/>
        </w:rPr>
        <w:tab/>
      </w:r>
      <w:r>
        <w:rPr>
          <w:rFonts w:ascii="Calibri" w:hAnsi="Calibri" w:eastAsia="黑体" w:cs="Calibri"/>
          <w:sz w:val="24"/>
          <w:szCs w:val="24"/>
        </w:rPr>
        <w:fldChar w:fldCharType="begin"/>
      </w:r>
      <w:r>
        <w:rPr>
          <w:rFonts w:ascii="Calibri" w:hAnsi="Calibri" w:eastAsia="黑体" w:cs="Calibri"/>
          <w:sz w:val="24"/>
          <w:szCs w:val="24"/>
        </w:rPr>
        <w:instrText xml:space="preserve"> PAGEREF _Toc58853073 \h </w:instrText>
      </w:r>
      <w:r>
        <w:rPr>
          <w:rFonts w:ascii="Calibri" w:hAnsi="Calibri" w:eastAsia="黑体" w:cs="Calibri"/>
          <w:sz w:val="24"/>
          <w:szCs w:val="24"/>
        </w:rPr>
        <w:fldChar w:fldCharType="separate"/>
      </w:r>
      <w:r>
        <w:rPr>
          <w:rFonts w:ascii="Calibri" w:hAnsi="Calibri" w:eastAsia="黑体" w:cs="Calibri"/>
          <w:sz w:val="24"/>
          <w:szCs w:val="24"/>
        </w:rPr>
        <w:t>5</w:t>
      </w:r>
      <w:r>
        <w:rPr>
          <w:rFonts w:ascii="Calibri" w:hAnsi="Calibri" w:eastAsia="黑体" w:cs="Calibri"/>
          <w:sz w:val="24"/>
          <w:szCs w:val="24"/>
        </w:rPr>
        <w:fldChar w:fldCharType="end"/>
      </w:r>
      <w:r>
        <w:rPr>
          <w:rFonts w:ascii="Calibri" w:hAnsi="Calibri" w:eastAsia="黑体" w:cs="Calibri"/>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"_Toc58853074" </w:instrText>
      </w:r>
      <w:r>
        <w:fldChar w:fldCharType="separate"/>
      </w:r>
      <w:r>
        <w:rPr>
          <w:rStyle w:val="35"/>
          <w:rFonts w:hint="eastAsia" w:ascii="楷体" w:hAnsi="楷体" w:eastAsia="楷体" w:cs="Times New Roman"/>
          <w:sz w:val="24"/>
          <w:szCs w:val="24"/>
        </w:rPr>
        <w:t>第三节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发展机遇</w:t>
      </w:r>
      <w:r>
        <w:rPr>
          <w:sz w:val="24"/>
          <w:szCs w:val="24"/>
        </w:rPr>
        <w:tab/>
      </w:r>
      <w:r>
        <w:rPr>
          <w:sz w:val="24"/>
          <w:szCs w:val="24"/>
        </w:rPr>
        <w:fldChar w:fldCharType="begin"/>
      </w:r>
      <w:r>
        <w:rPr>
          <w:sz w:val="24"/>
          <w:szCs w:val="24"/>
        </w:rPr>
        <w:instrText xml:space="preserve"> PAGEREF _Toc58853074 \h </w:instrText>
      </w:r>
      <w:r>
        <w:rPr>
          <w:sz w:val="24"/>
          <w:szCs w:val="24"/>
        </w:rPr>
        <w:fldChar w:fldCharType="separate"/>
      </w:r>
      <w:r>
        <w:rPr>
          <w:sz w:val="24"/>
          <w:szCs w:val="24"/>
        </w:rPr>
        <w:t>7</w:t>
      </w:r>
      <w:r>
        <w:rPr>
          <w:sz w:val="24"/>
          <w:szCs w:val="24"/>
        </w:rPr>
        <w:fldChar w:fldCharType="end"/>
      </w:r>
      <w:r>
        <w:rPr>
          <w:sz w:val="24"/>
          <w:szCs w:val="24"/>
        </w:rPr>
        <w:fldChar w:fldCharType="end"/>
      </w:r>
    </w:p>
    <w:p>
      <w:pPr>
        <w:pStyle w:val="21"/>
        <w:tabs>
          <w:tab w:val="right" w:leader="dot" w:pos="8296"/>
        </w:tabs>
        <w:spacing w:before="0" w:after="0" w:line="600" w:lineRule="exact"/>
        <w:ind w:firstLine="0" w:firstLineChars="0"/>
        <w:rPr>
          <w:rStyle w:val="35"/>
          <w:rFonts w:ascii="黑体" w:hAnsi="黑体" w:eastAsia="黑体"/>
          <w:b w:val="0"/>
          <w:bCs w:val="0"/>
        </w:rPr>
      </w:pPr>
      <w:r>
        <w:fldChar w:fldCharType="begin"/>
      </w:r>
      <w:r>
        <w:instrText xml:space="preserve"> HYPERLINK \l "_Toc58853075" </w:instrText>
      </w:r>
      <w:r>
        <w:fldChar w:fldCharType="separate"/>
      </w:r>
      <w:r>
        <w:rPr>
          <w:rStyle w:val="35"/>
          <w:rFonts w:hint="eastAsia" w:ascii="黑体" w:hAnsi="黑体" w:eastAsia="黑体"/>
          <w:b w:val="0"/>
          <w:bCs w:val="0"/>
          <w:sz w:val="24"/>
          <w:szCs w:val="24"/>
        </w:rPr>
        <w:t>第二章</w:t>
      </w:r>
      <w:r>
        <w:rPr>
          <w:rStyle w:val="35"/>
          <w:rFonts w:ascii="黑体" w:hAnsi="黑体" w:eastAsia="黑体"/>
          <w:b w:val="0"/>
          <w:bCs w:val="0"/>
          <w:sz w:val="24"/>
          <w:szCs w:val="24"/>
        </w:rPr>
        <w:t xml:space="preserve"> </w:t>
      </w:r>
      <w:r>
        <w:rPr>
          <w:rStyle w:val="35"/>
          <w:rFonts w:hint="eastAsia" w:ascii="黑体" w:hAnsi="黑体" w:eastAsia="黑体"/>
          <w:b w:val="0"/>
          <w:bCs w:val="0"/>
          <w:sz w:val="24"/>
          <w:szCs w:val="24"/>
        </w:rPr>
        <w:t>谋划调兵山高质量发展新思路</w:t>
      </w:r>
      <w:r>
        <w:rPr>
          <w:rStyle w:val="35"/>
          <w:rFonts w:ascii="黑体" w:hAnsi="黑体" w:eastAsia="黑体"/>
          <w:b w:val="0"/>
          <w:bCs w:val="0"/>
        </w:rPr>
        <w:tab/>
      </w:r>
      <w:r>
        <w:rPr>
          <w:rStyle w:val="35"/>
          <w:rFonts w:ascii="Calibri" w:hAnsi="Calibri" w:eastAsia="黑体" w:cs="Calibri"/>
          <w:b w:val="0"/>
          <w:bCs w:val="0"/>
          <w:sz w:val="24"/>
          <w:szCs w:val="24"/>
        </w:rPr>
        <w:fldChar w:fldCharType="begin"/>
      </w:r>
      <w:r>
        <w:rPr>
          <w:rStyle w:val="35"/>
          <w:rFonts w:ascii="Calibri" w:hAnsi="Calibri" w:eastAsia="黑体" w:cs="Calibri"/>
          <w:b w:val="0"/>
          <w:bCs w:val="0"/>
          <w:sz w:val="24"/>
          <w:szCs w:val="24"/>
        </w:rPr>
        <w:instrText xml:space="preserve"> PAGEREF _Toc58853075 \h </w:instrText>
      </w:r>
      <w:r>
        <w:rPr>
          <w:rStyle w:val="35"/>
          <w:rFonts w:ascii="Calibri" w:hAnsi="Calibri" w:eastAsia="黑体" w:cs="Calibri"/>
          <w:b w:val="0"/>
          <w:bCs w:val="0"/>
          <w:sz w:val="24"/>
          <w:szCs w:val="24"/>
        </w:rPr>
        <w:fldChar w:fldCharType="separate"/>
      </w:r>
      <w:r>
        <w:rPr>
          <w:rStyle w:val="35"/>
          <w:rFonts w:ascii="Calibri" w:hAnsi="Calibri" w:eastAsia="黑体" w:cs="Calibri"/>
          <w:b w:val="0"/>
          <w:bCs w:val="0"/>
          <w:sz w:val="24"/>
          <w:szCs w:val="24"/>
        </w:rPr>
        <w:t>10</w:t>
      </w:r>
      <w:r>
        <w:rPr>
          <w:rStyle w:val="35"/>
          <w:rFonts w:ascii="Calibri" w:hAnsi="Calibri" w:eastAsia="黑体" w:cs="Calibri"/>
          <w:b w:val="0"/>
          <w:bCs w:val="0"/>
          <w:sz w:val="24"/>
          <w:szCs w:val="24"/>
        </w:rPr>
        <w:fldChar w:fldCharType="end"/>
      </w:r>
      <w:r>
        <w:rPr>
          <w:rStyle w:val="35"/>
          <w:rFonts w:ascii="Calibri" w:hAnsi="Calibri" w:eastAsia="黑体" w:cs="Calibri"/>
          <w:b w:val="0"/>
          <w:bCs w:val="0"/>
          <w:sz w:val="24"/>
          <w:szCs w:val="24"/>
        </w:rPr>
        <w:fldChar w:fldCharType="end"/>
      </w:r>
    </w:p>
    <w:p>
      <w:pPr>
        <w:pStyle w:val="24"/>
        <w:tabs>
          <w:tab w:val="left" w:pos="1600"/>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"_Toc58853076" </w:instrText>
      </w:r>
      <w:r>
        <w:fldChar w:fldCharType="separate"/>
      </w:r>
      <w:r>
        <w:rPr>
          <w:rStyle w:val="35"/>
          <w:rFonts w:hint="eastAsia" w:ascii="楷体" w:hAnsi="楷体" w:eastAsia="楷体" w:cs="Times New Roman"/>
          <w:sz w:val="24"/>
          <w:szCs w:val="24"/>
        </w:rPr>
        <w:t>第一节</w:t>
      </w:r>
      <w:r>
        <w:rPr>
          <w:rFonts w:hint="eastAsia" w:eastAsiaTheme="minorEastAsia"/>
          <w:smallCaps w:val="0"/>
          <w:sz w:val="24"/>
          <w:szCs w:val="24"/>
        </w:rPr>
        <w:t xml:space="preserve"> </w:t>
      </w:r>
      <w:r>
        <w:rPr>
          <w:rStyle w:val="35"/>
          <w:rFonts w:hint="eastAsia" w:ascii="楷体" w:hAnsi="楷体" w:eastAsia="楷体" w:cs="Times New Roman"/>
          <w:sz w:val="24"/>
          <w:szCs w:val="24"/>
        </w:rPr>
        <w:t>指导思想</w:t>
      </w:r>
      <w:r>
        <w:rPr>
          <w:sz w:val="24"/>
          <w:szCs w:val="24"/>
        </w:rPr>
        <w:tab/>
      </w:r>
      <w:r>
        <w:rPr>
          <w:sz w:val="24"/>
          <w:szCs w:val="24"/>
        </w:rPr>
        <w:fldChar w:fldCharType="begin"/>
      </w:r>
      <w:r>
        <w:rPr>
          <w:sz w:val="24"/>
          <w:szCs w:val="24"/>
        </w:rPr>
        <w:instrText xml:space="preserve"> PAGEREF _Toc58853076 \h </w:instrText>
      </w:r>
      <w:r>
        <w:rPr>
          <w:sz w:val="24"/>
          <w:szCs w:val="24"/>
        </w:rPr>
        <w:fldChar w:fldCharType="separate"/>
      </w:r>
      <w:r>
        <w:rPr>
          <w:sz w:val="24"/>
          <w:szCs w:val="24"/>
        </w:rPr>
        <w:t>10</w:t>
      </w:r>
      <w:r>
        <w:rPr>
          <w:sz w:val="24"/>
          <w:szCs w:val="24"/>
        </w:rPr>
        <w:fldChar w:fldCharType="end"/>
      </w:r>
      <w:r>
        <w:rPr>
          <w:sz w:val="24"/>
          <w:szCs w:val="24"/>
        </w:rPr>
        <w:fldChar w:fldCharType="end"/>
      </w:r>
    </w:p>
    <w:p>
      <w:pPr>
        <w:pStyle w:val="24"/>
        <w:tabs>
          <w:tab w:val="left" w:pos="1600"/>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"_Toc58853077" </w:instrText>
      </w:r>
      <w:r>
        <w:fldChar w:fldCharType="separate"/>
      </w:r>
      <w:r>
        <w:rPr>
          <w:rStyle w:val="35"/>
          <w:rFonts w:hint="eastAsia" w:ascii="楷体" w:hAnsi="楷体" w:eastAsia="楷体" w:cs="Times New Roman"/>
          <w:sz w:val="24"/>
          <w:szCs w:val="24"/>
        </w:rPr>
        <w:t>第二节</w:t>
      </w:r>
      <w:r>
        <w:rPr>
          <w:rFonts w:hint="eastAsia" w:eastAsiaTheme="minorEastAsia"/>
          <w:smallCaps w:val="0"/>
          <w:sz w:val="24"/>
          <w:szCs w:val="24"/>
        </w:rPr>
        <w:t xml:space="preserve"> </w:t>
      </w:r>
      <w:r>
        <w:rPr>
          <w:rStyle w:val="35"/>
          <w:rFonts w:hint="eastAsia" w:ascii="楷体" w:hAnsi="楷体" w:eastAsia="楷体" w:cs="Times New Roman"/>
          <w:sz w:val="24"/>
          <w:szCs w:val="24"/>
        </w:rPr>
        <w:t>基本原则</w:t>
      </w:r>
      <w:r>
        <w:rPr>
          <w:sz w:val="24"/>
          <w:szCs w:val="24"/>
        </w:rPr>
        <w:tab/>
      </w:r>
      <w:r>
        <w:rPr>
          <w:sz w:val="24"/>
          <w:szCs w:val="24"/>
        </w:rPr>
        <w:fldChar w:fldCharType="begin"/>
      </w:r>
      <w:r>
        <w:rPr>
          <w:sz w:val="24"/>
          <w:szCs w:val="24"/>
        </w:rPr>
        <w:instrText xml:space="preserve"> PAGEREF _Toc58853077 \h </w:instrText>
      </w:r>
      <w:r>
        <w:rPr>
          <w:sz w:val="24"/>
          <w:szCs w:val="24"/>
        </w:rPr>
        <w:fldChar w:fldCharType="separate"/>
      </w:r>
      <w:r>
        <w:rPr>
          <w:sz w:val="24"/>
          <w:szCs w:val="24"/>
        </w:rPr>
        <w:t>10</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"_Toc58853078" </w:instrText>
      </w:r>
      <w:r>
        <w:fldChar w:fldCharType="separate"/>
      </w:r>
      <w:r>
        <w:rPr>
          <w:rStyle w:val="35"/>
          <w:rFonts w:hint="eastAsia" w:ascii="楷体" w:hAnsi="楷体" w:eastAsia="楷体" w:cs="Times New Roman"/>
          <w:sz w:val="24"/>
          <w:szCs w:val="24"/>
        </w:rPr>
        <w:t>第三节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发展定位</w:t>
      </w:r>
      <w:r>
        <w:rPr>
          <w:sz w:val="24"/>
          <w:szCs w:val="24"/>
        </w:rPr>
        <w:tab/>
      </w:r>
      <w:r>
        <w:rPr>
          <w:sz w:val="24"/>
          <w:szCs w:val="24"/>
        </w:rPr>
        <w:fldChar w:fldCharType="begin"/>
      </w:r>
      <w:r>
        <w:rPr>
          <w:sz w:val="24"/>
          <w:szCs w:val="24"/>
        </w:rPr>
        <w:instrText xml:space="preserve"> PAGEREF _Toc58853078 \h </w:instrText>
      </w:r>
      <w:r>
        <w:rPr>
          <w:sz w:val="24"/>
          <w:szCs w:val="24"/>
        </w:rPr>
        <w:fldChar w:fldCharType="separate"/>
      </w:r>
      <w:r>
        <w:rPr>
          <w:sz w:val="24"/>
          <w:szCs w:val="24"/>
        </w:rPr>
        <w:t>12</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"_Toc58853079" </w:instrText>
      </w:r>
      <w:r>
        <w:fldChar w:fldCharType="separate"/>
      </w:r>
      <w:r>
        <w:rPr>
          <w:rStyle w:val="35"/>
          <w:rFonts w:hint="eastAsia" w:ascii="楷体" w:hAnsi="楷体" w:eastAsia="楷体" w:cs="Times New Roman"/>
          <w:sz w:val="24"/>
          <w:szCs w:val="24"/>
        </w:rPr>
        <w:t>第四节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发展目标</w:t>
      </w:r>
      <w:r>
        <w:rPr>
          <w:sz w:val="24"/>
          <w:szCs w:val="24"/>
        </w:rPr>
        <w:tab/>
      </w:r>
      <w:r>
        <w:rPr>
          <w:sz w:val="24"/>
          <w:szCs w:val="24"/>
        </w:rPr>
        <w:fldChar w:fldCharType="begin"/>
      </w:r>
      <w:r>
        <w:rPr>
          <w:sz w:val="24"/>
          <w:szCs w:val="24"/>
        </w:rPr>
        <w:instrText xml:space="preserve"> PAGEREF _Toc58853079 \h </w:instrText>
      </w:r>
      <w:r>
        <w:rPr>
          <w:sz w:val="24"/>
          <w:szCs w:val="24"/>
        </w:rPr>
        <w:fldChar w:fldCharType="separate"/>
      </w:r>
      <w:r>
        <w:rPr>
          <w:sz w:val="24"/>
          <w:szCs w:val="24"/>
        </w:rPr>
        <w:t>13</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"_Toc58853080" </w:instrText>
      </w:r>
      <w:r>
        <w:fldChar w:fldCharType="separate"/>
      </w:r>
      <w:r>
        <w:rPr>
          <w:rStyle w:val="35"/>
          <w:rFonts w:hint="eastAsia" w:ascii="楷体" w:hAnsi="楷体" w:eastAsia="楷体" w:cs="Times New Roman"/>
          <w:sz w:val="24"/>
          <w:szCs w:val="24"/>
        </w:rPr>
        <w:t>第五节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空间布局</w:t>
      </w:r>
      <w:r>
        <w:rPr>
          <w:sz w:val="24"/>
          <w:szCs w:val="24"/>
        </w:rPr>
        <w:tab/>
      </w:r>
      <w:r>
        <w:rPr>
          <w:sz w:val="24"/>
          <w:szCs w:val="24"/>
        </w:rPr>
        <w:fldChar w:fldCharType="begin"/>
      </w:r>
      <w:r>
        <w:rPr>
          <w:sz w:val="24"/>
          <w:szCs w:val="24"/>
        </w:rPr>
        <w:instrText xml:space="preserve"> PAGEREF _Toc58853080 \h </w:instrText>
      </w:r>
      <w:r>
        <w:rPr>
          <w:sz w:val="24"/>
          <w:szCs w:val="24"/>
        </w:rPr>
        <w:fldChar w:fldCharType="separate"/>
      </w:r>
      <w:r>
        <w:rPr>
          <w:sz w:val="24"/>
          <w:szCs w:val="24"/>
        </w:rPr>
        <w:t>18</w:t>
      </w:r>
      <w:r>
        <w:rPr>
          <w:sz w:val="24"/>
          <w:szCs w:val="24"/>
        </w:rPr>
        <w:fldChar w:fldCharType="end"/>
      </w:r>
      <w:r>
        <w:rPr>
          <w:sz w:val="24"/>
          <w:szCs w:val="24"/>
        </w:rPr>
        <w:fldChar w:fldCharType="end"/>
      </w:r>
    </w:p>
    <w:p>
      <w:pPr>
        <w:pStyle w:val="21"/>
        <w:tabs>
          <w:tab w:val="right" w:leader="dot" w:pos="8296"/>
        </w:tabs>
        <w:spacing w:before="0" w:after="0" w:line="600" w:lineRule="exact"/>
        <w:ind w:firstLine="0" w:firstLineChars="0"/>
        <w:rPr>
          <w:rStyle w:val="35"/>
          <w:rFonts w:ascii="黑体" w:hAnsi="黑体" w:eastAsia="黑体"/>
          <w:b w:val="0"/>
          <w:bCs w:val="0"/>
        </w:rPr>
      </w:pPr>
      <w:r>
        <w:fldChar w:fldCharType="begin"/>
      </w:r>
      <w:r>
        <w:instrText xml:space="preserve"> HYPERLINK \l "_Toc58853081" </w:instrText>
      </w:r>
      <w:r>
        <w:fldChar w:fldCharType="separate"/>
      </w:r>
      <w:r>
        <w:rPr>
          <w:rStyle w:val="35"/>
          <w:rFonts w:hint="eastAsia" w:ascii="黑体" w:hAnsi="黑体" w:eastAsia="黑体"/>
          <w:b w:val="0"/>
          <w:bCs w:val="0"/>
          <w:sz w:val="24"/>
          <w:szCs w:val="24"/>
        </w:rPr>
        <w:t>第三章</w:t>
      </w:r>
      <w:r>
        <w:rPr>
          <w:rStyle w:val="35"/>
          <w:rFonts w:ascii="黑体" w:hAnsi="黑体" w:eastAsia="黑体"/>
          <w:b w:val="0"/>
          <w:bCs w:val="0"/>
          <w:sz w:val="24"/>
          <w:szCs w:val="24"/>
        </w:rPr>
        <w:t xml:space="preserve">  </w:t>
      </w:r>
      <w:r>
        <w:rPr>
          <w:rStyle w:val="35"/>
          <w:rFonts w:hint="eastAsia" w:ascii="黑体" w:hAnsi="黑体" w:eastAsia="黑体"/>
          <w:b w:val="0"/>
          <w:bCs w:val="0"/>
          <w:sz w:val="24"/>
          <w:szCs w:val="24"/>
        </w:rPr>
        <w:t>优化营商环境，全面深化改革</w:t>
      </w:r>
      <w:r>
        <w:rPr>
          <w:rStyle w:val="35"/>
          <w:rFonts w:ascii="黑体" w:hAnsi="黑体" w:eastAsia="黑体"/>
          <w:b w:val="0"/>
          <w:bCs w:val="0"/>
        </w:rPr>
        <w:tab/>
      </w:r>
      <w:r>
        <w:rPr>
          <w:rStyle w:val="35"/>
          <w:rFonts w:ascii="Calibri" w:hAnsi="Calibri" w:eastAsia="黑体" w:cs="Calibri"/>
          <w:b w:val="0"/>
          <w:bCs w:val="0"/>
          <w:sz w:val="24"/>
          <w:szCs w:val="24"/>
        </w:rPr>
        <w:fldChar w:fldCharType="begin"/>
      </w:r>
      <w:r>
        <w:rPr>
          <w:rStyle w:val="35"/>
          <w:rFonts w:ascii="Calibri" w:hAnsi="Calibri" w:eastAsia="黑体" w:cs="Calibri"/>
          <w:b w:val="0"/>
          <w:bCs w:val="0"/>
          <w:sz w:val="24"/>
          <w:szCs w:val="24"/>
        </w:rPr>
        <w:instrText xml:space="preserve"> PAGEREF _Toc58853081 \h </w:instrText>
      </w:r>
      <w:r>
        <w:rPr>
          <w:rStyle w:val="35"/>
          <w:rFonts w:ascii="Calibri" w:hAnsi="Calibri" w:eastAsia="黑体" w:cs="Calibri"/>
          <w:b w:val="0"/>
          <w:bCs w:val="0"/>
          <w:sz w:val="24"/>
          <w:szCs w:val="24"/>
        </w:rPr>
        <w:fldChar w:fldCharType="separate"/>
      </w:r>
      <w:r>
        <w:rPr>
          <w:rStyle w:val="35"/>
          <w:rFonts w:ascii="Calibri" w:hAnsi="Calibri" w:eastAsia="黑体" w:cs="Calibri"/>
          <w:b w:val="0"/>
          <w:bCs w:val="0"/>
          <w:sz w:val="24"/>
          <w:szCs w:val="24"/>
        </w:rPr>
        <w:t>20</w:t>
      </w:r>
      <w:r>
        <w:rPr>
          <w:rStyle w:val="35"/>
          <w:rFonts w:ascii="Calibri" w:hAnsi="Calibri" w:eastAsia="黑体" w:cs="Calibri"/>
          <w:b w:val="0"/>
          <w:bCs w:val="0"/>
          <w:sz w:val="24"/>
          <w:szCs w:val="24"/>
        </w:rPr>
        <w:fldChar w:fldCharType="end"/>
      </w:r>
      <w:r>
        <w:rPr>
          <w:rStyle w:val="35"/>
          <w:rFonts w:ascii="Calibri" w:hAnsi="Calibri" w:eastAsia="黑体" w:cs="Calibri"/>
          <w:b w:val="0"/>
          <w:bCs w:val="0"/>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"_Toc58853082" </w:instrText>
      </w:r>
      <w:r>
        <w:fldChar w:fldCharType="separate"/>
      </w:r>
      <w:r>
        <w:rPr>
          <w:rStyle w:val="35"/>
          <w:rFonts w:hint="eastAsia" w:ascii="楷体" w:hAnsi="楷体" w:eastAsia="楷体" w:cs="Times New Roman"/>
          <w:sz w:val="24"/>
          <w:szCs w:val="24"/>
        </w:rPr>
        <w:t>第一节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打造营商环境最优市</w:t>
      </w:r>
      <w:r>
        <w:rPr>
          <w:sz w:val="24"/>
          <w:szCs w:val="24"/>
        </w:rPr>
        <w:tab/>
      </w:r>
      <w:r>
        <w:rPr>
          <w:sz w:val="24"/>
          <w:szCs w:val="24"/>
        </w:rPr>
        <w:fldChar w:fldCharType="begin"/>
      </w:r>
      <w:r>
        <w:rPr>
          <w:sz w:val="24"/>
          <w:szCs w:val="24"/>
        </w:rPr>
        <w:instrText xml:space="preserve"> PAGEREF _Toc58853082 \h </w:instrText>
      </w:r>
      <w:r>
        <w:rPr>
          <w:sz w:val="24"/>
          <w:szCs w:val="24"/>
        </w:rPr>
        <w:fldChar w:fldCharType="separate"/>
      </w:r>
      <w:r>
        <w:rPr>
          <w:sz w:val="24"/>
          <w:szCs w:val="24"/>
        </w:rPr>
        <w:t>20</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"_Toc58853083" </w:instrText>
      </w:r>
      <w:r>
        <w:fldChar w:fldCharType="separate"/>
      </w:r>
      <w:r>
        <w:rPr>
          <w:rStyle w:val="35"/>
          <w:rFonts w:hint="eastAsia" w:ascii="楷体" w:hAnsi="楷体" w:eastAsia="楷体" w:cs="Times New Roman"/>
          <w:sz w:val="24"/>
          <w:szCs w:val="24"/>
        </w:rPr>
        <w:t>第二节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深化关键领域改革</w:t>
      </w:r>
      <w:r>
        <w:rPr>
          <w:sz w:val="24"/>
          <w:szCs w:val="24"/>
        </w:rPr>
        <w:tab/>
      </w:r>
      <w:r>
        <w:rPr>
          <w:sz w:val="24"/>
          <w:szCs w:val="24"/>
        </w:rPr>
        <w:fldChar w:fldCharType="begin"/>
      </w:r>
      <w:r>
        <w:rPr>
          <w:sz w:val="24"/>
          <w:szCs w:val="24"/>
        </w:rPr>
        <w:instrText xml:space="preserve"> PAGEREF _Toc58853083 \h </w:instrText>
      </w:r>
      <w:r>
        <w:rPr>
          <w:sz w:val="24"/>
          <w:szCs w:val="24"/>
        </w:rPr>
        <w:fldChar w:fldCharType="separate"/>
      </w:r>
      <w:r>
        <w:rPr>
          <w:sz w:val="24"/>
          <w:szCs w:val="24"/>
        </w:rPr>
        <w:t>21</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"_Toc58853084" </w:instrText>
      </w:r>
      <w:r>
        <w:fldChar w:fldCharType="separate"/>
      </w:r>
      <w:r>
        <w:rPr>
          <w:rStyle w:val="35"/>
          <w:rFonts w:hint="eastAsia" w:ascii="楷体" w:hAnsi="楷体" w:eastAsia="楷体" w:cs="Times New Roman"/>
          <w:sz w:val="24"/>
          <w:szCs w:val="24"/>
        </w:rPr>
        <w:t>第三节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激发各类市场主体活力</w:t>
      </w:r>
      <w:r>
        <w:rPr>
          <w:sz w:val="24"/>
          <w:szCs w:val="24"/>
        </w:rPr>
        <w:tab/>
      </w:r>
      <w:r>
        <w:rPr>
          <w:sz w:val="24"/>
          <w:szCs w:val="24"/>
        </w:rPr>
        <w:fldChar w:fldCharType="begin"/>
      </w:r>
      <w:r>
        <w:rPr>
          <w:sz w:val="24"/>
          <w:szCs w:val="24"/>
        </w:rPr>
        <w:instrText xml:space="preserve"> PAGEREF _Toc58853084 \h </w:instrText>
      </w:r>
      <w:r>
        <w:rPr>
          <w:sz w:val="24"/>
          <w:szCs w:val="24"/>
        </w:rPr>
        <w:fldChar w:fldCharType="separate"/>
      </w:r>
      <w:r>
        <w:rPr>
          <w:sz w:val="24"/>
          <w:szCs w:val="24"/>
        </w:rPr>
        <w:t>22</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"_Toc58853085" </w:instrText>
      </w:r>
      <w:r>
        <w:fldChar w:fldCharType="separate"/>
      </w:r>
      <w:r>
        <w:rPr>
          <w:rStyle w:val="35"/>
          <w:rFonts w:hint="eastAsia" w:ascii="楷体" w:hAnsi="楷体" w:eastAsia="楷体" w:cs="Times New Roman"/>
          <w:sz w:val="24"/>
          <w:szCs w:val="24"/>
        </w:rPr>
        <w:t>第四节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防范化解重大风险</w:t>
      </w:r>
      <w:r>
        <w:rPr>
          <w:sz w:val="24"/>
          <w:szCs w:val="24"/>
        </w:rPr>
        <w:tab/>
      </w:r>
      <w:r>
        <w:rPr>
          <w:sz w:val="24"/>
          <w:szCs w:val="24"/>
        </w:rPr>
        <w:fldChar w:fldCharType="begin"/>
      </w:r>
      <w:r>
        <w:rPr>
          <w:sz w:val="24"/>
          <w:szCs w:val="24"/>
        </w:rPr>
        <w:instrText xml:space="preserve"> PAGEREF _Toc58853085 \h </w:instrText>
      </w:r>
      <w:r>
        <w:rPr>
          <w:sz w:val="24"/>
          <w:szCs w:val="24"/>
        </w:rPr>
        <w:fldChar w:fldCharType="separate"/>
      </w:r>
      <w:r>
        <w:rPr>
          <w:sz w:val="24"/>
          <w:szCs w:val="24"/>
        </w:rPr>
        <w:t>23</w:t>
      </w:r>
      <w:r>
        <w:rPr>
          <w:sz w:val="24"/>
          <w:szCs w:val="24"/>
        </w:rPr>
        <w:fldChar w:fldCharType="end"/>
      </w:r>
      <w:r>
        <w:rPr>
          <w:sz w:val="24"/>
          <w:szCs w:val="24"/>
        </w:rPr>
        <w:fldChar w:fldCharType="end"/>
      </w:r>
    </w:p>
    <w:p>
      <w:pPr>
        <w:pStyle w:val="21"/>
        <w:tabs>
          <w:tab w:val="right" w:leader="dot" w:pos="8296"/>
        </w:tabs>
        <w:spacing w:before="0" w:after="0" w:line="600" w:lineRule="exact"/>
        <w:ind w:firstLine="0" w:firstLineChars="0"/>
        <w:rPr>
          <w:rStyle w:val="35"/>
          <w:rFonts w:ascii="黑体" w:hAnsi="黑体" w:eastAsia="黑体"/>
          <w:b w:val="0"/>
          <w:bCs w:val="0"/>
        </w:rPr>
      </w:pPr>
      <w:r>
        <w:fldChar w:fldCharType="begin"/>
      </w:r>
      <w:r>
        <w:instrText xml:space="preserve"> HYPERLINK \l "_Toc58853086" </w:instrText>
      </w:r>
      <w:r>
        <w:fldChar w:fldCharType="separate"/>
      </w:r>
      <w:r>
        <w:rPr>
          <w:rStyle w:val="35"/>
          <w:rFonts w:hint="eastAsia" w:ascii="黑体" w:hAnsi="黑体" w:eastAsia="黑体"/>
          <w:b w:val="0"/>
          <w:bCs w:val="0"/>
          <w:sz w:val="24"/>
          <w:szCs w:val="24"/>
        </w:rPr>
        <w:t>第四章</w:t>
      </w:r>
      <w:r>
        <w:rPr>
          <w:rStyle w:val="35"/>
          <w:rFonts w:ascii="黑体" w:hAnsi="黑体" w:eastAsia="黑体"/>
          <w:b w:val="0"/>
          <w:bCs w:val="0"/>
          <w:sz w:val="24"/>
          <w:szCs w:val="24"/>
        </w:rPr>
        <w:t xml:space="preserve"> </w:t>
      </w:r>
      <w:r>
        <w:rPr>
          <w:rStyle w:val="35"/>
          <w:rFonts w:hint="eastAsia" w:ascii="黑体" w:hAnsi="黑体" w:eastAsia="黑体"/>
          <w:b w:val="0"/>
          <w:bCs w:val="0"/>
          <w:sz w:val="24"/>
          <w:szCs w:val="24"/>
        </w:rPr>
        <w:t>强化创新驱动，培育壮大新动能</w:t>
      </w:r>
      <w:r>
        <w:rPr>
          <w:rStyle w:val="35"/>
          <w:rFonts w:ascii="黑体" w:hAnsi="黑体" w:eastAsia="黑体"/>
          <w:b w:val="0"/>
          <w:bCs w:val="0"/>
        </w:rPr>
        <w:tab/>
      </w:r>
      <w:r>
        <w:rPr>
          <w:rStyle w:val="35"/>
          <w:rFonts w:ascii="Calibri" w:hAnsi="Calibri" w:eastAsia="黑体" w:cs="Calibri"/>
          <w:b w:val="0"/>
          <w:bCs w:val="0"/>
          <w:sz w:val="24"/>
          <w:szCs w:val="24"/>
        </w:rPr>
        <w:t>2</w:t>
      </w:r>
      <w:r>
        <w:rPr>
          <w:rStyle w:val="35"/>
          <w:rFonts w:ascii="Calibri" w:hAnsi="Calibri" w:eastAsia="黑体" w:cs="Calibri"/>
          <w:b w:val="0"/>
          <w:bCs w:val="0"/>
          <w:sz w:val="24"/>
          <w:szCs w:val="24"/>
        </w:rPr>
        <w:fldChar w:fldCharType="end"/>
      </w:r>
      <w:r>
        <w:rPr>
          <w:rStyle w:val="35"/>
          <w:rFonts w:ascii="Calibri" w:hAnsi="Calibri" w:eastAsia="黑体" w:cs="Calibri"/>
          <w:b w:val="0"/>
          <w:bCs w:val="0"/>
          <w:sz w:val="24"/>
          <w:szCs w:val="24"/>
        </w:rPr>
        <w:t>4</w:t>
      </w:r>
    </w:p>
    <w:p>
      <w:pPr>
        <w:pStyle w:val="24"/>
        <w:tabs>
          <w:tab w:val="right" w:leader="dot" w:pos="8296"/>
        </w:tabs>
        <w:spacing w:line="600" w:lineRule="exact"/>
        <w:ind w:firstLine="0" w:firstLineChars="0"/>
        <w:rPr>
          <w:smallCaps w:val="0"/>
          <w:sz w:val="24"/>
          <w:szCs w:val="24"/>
        </w:rPr>
      </w:pPr>
      <w:r>
        <w:fldChar w:fldCharType="begin"/>
      </w:r>
      <w:r>
        <w:instrText xml:space="preserve"> HYPERLINK \l "_Toc58853087" </w:instrText>
      </w:r>
      <w:r>
        <w:fldChar w:fldCharType="separate"/>
      </w:r>
      <w:r>
        <w:rPr>
          <w:rStyle w:val="35"/>
          <w:rFonts w:hint="eastAsia" w:ascii="楷体" w:hAnsi="楷体" w:eastAsia="楷体" w:cs="Times New Roman"/>
          <w:sz w:val="24"/>
          <w:szCs w:val="24"/>
        </w:rPr>
        <w:t>第一节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高标准培育创新主体</w:t>
      </w:r>
      <w:r>
        <w:rPr>
          <w:sz w:val="24"/>
          <w:szCs w:val="24"/>
        </w:rPr>
        <w:tab/>
      </w:r>
      <w:r>
        <w:rPr>
          <w:rFonts w:hint="eastAsia"/>
          <w:sz w:val="24"/>
          <w:szCs w:val="24"/>
        </w:rPr>
        <w:t>2</w:t>
      </w:r>
      <w:r>
        <w:rPr>
          <w:rFonts w:hint="eastAsia"/>
          <w:sz w:val="24"/>
          <w:szCs w:val="24"/>
        </w:rPr>
        <w:fldChar w:fldCharType="end"/>
      </w:r>
      <w:r>
        <w:rPr>
          <w:rFonts w:hint="eastAsia"/>
          <w:sz w:val="24"/>
          <w:szCs w:val="24"/>
        </w:rPr>
        <w:t>4</w:t>
      </w:r>
    </w:p>
    <w:p>
      <w:pPr>
        <w:pStyle w:val="24"/>
        <w:tabs>
          <w:tab w:val="right" w:leader="dot" w:pos="8296"/>
        </w:tabs>
        <w:spacing w:line="600" w:lineRule="exact"/>
        <w:ind w:firstLine="0" w:firstLineChars="0"/>
        <w:rPr>
          <w:smallCaps w:val="0"/>
          <w:sz w:val="24"/>
          <w:szCs w:val="24"/>
        </w:rPr>
      </w:pPr>
      <w:r>
        <w:fldChar w:fldCharType="begin"/>
      </w:r>
      <w:r>
        <w:instrText xml:space="preserve"> HYPERLINK \l "_Toc58853088" </w:instrText>
      </w:r>
      <w:r>
        <w:fldChar w:fldCharType="separate"/>
      </w:r>
      <w:r>
        <w:rPr>
          <w:rStyle w:val="35"/>
          <w:rFonts w:hint="eastAsia" w:ascii="楷体" w:hAnsi="楷体" w:eastAsia="楷体" w:cs="Times New Roman"/>
          <w:sz w:val="24"/>
          <w:szCs w:val="24"/>
        </w:rPr>
        <w:t>第二节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提升企业技术创新能力</w:t>
      </w:r>
      <w:r>
        <w:rPr>
          <w:sz w:val="24"/>
          <w:szCs w:val="24"/>
        </w:rPr>
        <w:tab/>
      </w:r>
      <w:r>
        <w:rPr>
          <w:rFonts w:hint="eastAsia"/>
          <w:sz w:val="24"/>
          <w:szCs w:val="24"/>
        </w:rPr>
        <w:t>2</w:t>
      </w:r>
      <w:r>
        <w:rPr>
          <w:rFonts w:hint="eastAsia"/>
          <w:sz w:val="24"/>
          <w:szCs w:val="24"/>
        </w:rPr>
        <w:fldChar w:fldCharType="end"/>
      </w:r>
      <w:r>
        <w:rPr>
          <w:rFonts w:hint="eastAsia"/>
          <w:sz w:val="24"/>
          <w:szCs w:val="24"/>
        </w:rPr>
        <w:t>5</w:t>
      </w:r>
    </w:p>
    <w:p>
      <w:pPr>
        <w:pStyle w:val="24"/>
        <w:tabs>
          <w:tab w:val="right" w:leader="dot" w:pos="8296"/>
        </w:tabs>
        <w:spacing w:line="600" w:lineRule="exact"/>
        <w:ind w:firstLine="0" w:firstLineChars="0"/>
        <w:rPr>
          <w:smallCaps w:val="0"/>
          <w:sz w:val="24"/>
          <w:szCs w:val="24"/>
        </w:rPr>
      </w:pPr>
      <w:r>
        <w:fldChar w:fldCharType="begin"/>
      </w:r>
      <w:r>
        <w:instrText xml:space="preserve"> HYPERLINK \l "_Toc58853089" </w:instrText>
      </w:r>
      <w:r>
        <w:fldChar w:fldCharType="separate"/>
      </w:r>
      <w:r>
        <w:rPr>
          <w:rStyle w:val="35"/>
          <w:rFonts w:hint="eastAsia" w:ascii="楷体" w:hAnsi="楷体" w:eastAsia="楷体"/>
          <w:sz w:val="24"/>
          <w:szCs w:val="24"/>
        </w:rPr>
        <w:t>第三节</w:t>
      </w:r>
      <w:r>
        <w:rPr>
          <w:rStyle w:val="35"/>
          <w:rFonts w:ascii="楷体" w:hAnsi="楷体" w:eastAsia="楷体"/>
          <w:sz w:val="24"/>
          <w:szCs w:val="24"/>
        </w:rPr>
        <w:t xml:space="preserve"> </w:t>
      </w:r>
      <w:r>
        <w:rPr>
          <w:rStyle w:val="35"/>
          <w:rFonts w:hint="eastAsia" w:ascii="楷体" w:hAnsi="楷体" w:eastAsia="楷体"/>
          <w:sz w:val="24"/>
          <w:szCs w:val="24"/>
        </w:rPr>
        <w:t>激发人才创新活力</w:t>
      </w:r>
      <w:r>
        <w:rPr>
          <w:sz w:val="24"/>
          <w:szCs w:val="24"/>
        </w:rPr>
        <w:tab/>
      </w:r>
      <w:r>
        <w:rPr>
          <w:rFonts w:hint="eastAsia"/>
          <w:sz w:val="24"/>
          <w:szCs w:val="24"/>
        </w:rPr>
        <w:t>2</w:t>
      </w:r>
      <w:r>
        <w:rPr>
          <w:rFonts w:hint="eastAsia"/>
          <w:sz w:val="24"/>
          <w:szCs w:val="24"/>
        </w:rPr>
        <w:fldChar w:fldCharType="end"/>
      </w:r>
      <w:r>
        <w:rPr>
          <w:rFonts w:hint="eastAsia"/>
          <w:sz w:val="24"/>
          <w:szCs w:val="24"/>
        </w:rPr>
        <w:t>6</w:t>
      </w:r>
    </w:p>
    <w:p>
      <w:pPr>
        <w:pStyle w:val="24"/>
        <w:tabs>
          <w:tab w:val="right" w:leader="dot" w:pos="8296"/>
        </w:tabs>
        <w:spacing w:line="600" w:lineRule="exact"/>
        <w:ind w:firstLine="0" w:firstLineChars="0"/>
        <w:rPr>
          <w:smallCaps w:val="0"/>
          <w:sz w:val="24"/>
          <w:szCs w:val="24"/>
        </w:rPr>
      </w:pPr>
      <w:r>
        <w:fldChar w:fldCharType="begin"/>
      </w:r>
      <w:r>
        <w:instrText xml:space="preserve"> HYPERLINK \l "_Toc58853090" </w:instrText>
      </w:r>
      <w:r>
        <w:fldChar w:fldCharType="separate"/>
      </w:r>
      <w:r>
        <w:rPr>
          <w:rStyle w:val="35"/>
          <w:rFonts w:hint="eastAsia" w:ascii="楷体" w:hAnsi="楷体" w:eastAsia="楷体" w:cs="Times New Roman"/>
          <w:sz w:val="24"/>
          <w:szCs w:val="24"/>
        </w:rPr>
        <w:t>第四节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培育数字经济发展新优势</w:t>
      </w:r>
      <w:r>
        <w:rPr>
          <w:sz w:val="24"/>
          <w:szCs w:val="24"/>
        </w:rPr>
        <w:tab/>
      </w:r>
      <w:r>
        <w:rPr>
          <w:rFonts w:hint="eastAsia"/>
          <w:sz w:val="24"/>
          <w:szCs w:val="24"/>
        </w:rPr>
        <w:t>2</w:t>
      </w:r>
      <w:r>
        <w:rPr>
          <w:rFonts w:hint="eastAsia"/>
          <w:sz w:val="24"/>
          <w:szCs w:val="24"/>
        </w:rPr>
        <w:fldChar w:fldCharType="end"/>
      </w:r>
      <w:r>
        <w:rPr>
          <w:rFonts w:hint="eastAsia"/>
          <w:sz w:val="24"/>
          <w:szCs w:val="24"/>
        </w:rPr>
        <w:t>7</w:t>
      </w:r>
    </w:p>
    <w:p>
      <w:pPr>
        <w:pStyle w:val="21"/>
        <w:tabs>
          <w:tab w:val="right" w:leader="dot" w:pos="8296"/>
        </w:tabs>
        <w:spacing w:before="0" w:after="0" w:line="600" w:lineRule="exact"/>
        <w:ind w:firstLine="0" w:firstLineChars="0"/>
        <w:rPr>
          <w:rStyle w:val="35"/>
          <w:rFonts w:ascii="黑体" w:hAnsi="黑体" w:eastAsia="黑体"/>
          <w:b w:val="0"/>
          <w:bCs w:val="0"/>
        </w:rPr>
      </w:pPr>
      <w:r>
        <w:fldChar w:fldCharType="begin"/>
      </w:r>
      <w:r>
        <w:instrText xml:space="preserve"> HYPERLINK \l "_Toc58853091" </w:instrText>
      </w:r>
      <w:r>
        <w:fldChar w:fldCharType="separate"/>
      </w:r>
      <w:r>
        <w:rPr>
          <w:rStyle w:val="35"/>
          <w:rFonts w:hint="eastAsia" w:ascii="黑体" w:hAnsi="黑体" w:eastAsia="黑体"/>
          <w:b w:val="0"/>
          <w:bCs w:val="0"/>
          <w:sz w:val="24"/>
          <w:szCs w:val="24"/>
        </w:rPr>
        <w:t>第五章</w:t>
      </w:r>
      <w:r>
        <w:rPr>
          <w:rStyle w:val="35"/>
          <w:rFonts w:ascii="黑体" w:hAnsi="黑体" w:eastAsia="黑体"/>
          <w:b w:val="0"/>
          <w:bCs w:val="0"/>
          <w:sz w:val="24"/>
          <w:szCs w:val="24"/>
        </w:rPr>
        <w:t xml:space="preserve"> </w:t>
      </w:r>
      <w:r>
        <w:rPr>
          <w:rStyle w:val="35"/>
          <w:rFonts w:hint="eastAsia" w:ascii="黑体" w:hAnsi="黑体" w:eastAsia="黑体"/>
          <w:b w:val="0"/>
          <w:bCs w:val="0"/>
          <w:sz w:val="24"/>
          <w:szCs w:val="24"/>
        </w:rPr>
        <w:t>发展特色农业，推动农业三产融合发展</w:t>
      </w:r>
      <w:r>
        <w:rPr>
          <w:rStyle w:val="35"/>
          <w:rFonts w:ascii="黑体" w:hAnsi="黑体" w:eastAsia="黑体"/>
          <w:b w:val="0"/>
          <w:bCs w:val="0"/>
        </w:rPr>
        <w:tab/>
      </w:r>
      <w:r>
        <w:rPr>
          <w:rStyle w:val="35"/>
          <w:rFonts w:ascii="Calibri" w:hAnsi="Calibri" w:eastAsia="黑体" w:cs="Calibri"/>
          <w:b w:val="0"/>
          <w:bCs w:val="0"/>
          <w:sz w:val="24"/>
          <w:szCs w:val="24"/>
        </w:rPr>
        <w:t>2</w:t>
      </w:r>
      <w:r>
        <w:rPr>
          <w:rStyle w:val="35"/>
          <w:rFonts w:ascii="Calibri" w:hAnsi="Calibri" w:eastAsia="黑体" w:cs="Calibri"/>
          <w:b w:val="0"/>
          <w:bCs w:val="0"/>
          <w:sz w:val="24"/>
          <w:szCs w:val="24"/>
        </w:rPr>
        <w:fldChar w:fldCharType="end"/>
      </w:r>
      <w:r>
        <w:rPr>
          <w:rStyle w:val="35"/>
          <w:rFonts w:ascii="Calibri" w:hAnsi="Calibri" w:eastAsia="黑体" w:cs="Calibri"/>
          <w:b w:val="0"/>
          <w:bCs w:val="0"/>
          <w:sz w:val="24"/>
          <w:szCs w:val="24"/>
        </w:rPr>
        <w:t>9</w:t>
      </w:r>
    </w:p>
    <w:p>
      <w:pPr>
        <w:pStyle w:val="24"/>
        <w:tabs>
          <w:tab w:val="right" w:leader="dot" w:pos="8296"/>
        </w:tabs>
        <w:spacing w:line="600" w:lineRule="exact"/>
        <w:ind w:firstLine="0" w:firstLineChars="0"/>
        <w:rPr>
          <w:smallCaps w:val="0"/>
          <w:sz w:val="24"/>
          <w:szCs w:val="24"/>
        </w:rPr>
      </w:pPr>
      <w:r>
        <w:fldChar w:fldCharType="begin"/>
      </w:r>
      <w:r>
        <w:instrText xml:space="preserve"> HYPERLINK \l "_Toc58853092" </w:instrText>
      </w:r>
      <w:r>
        <w:fldChar w:fldCharType="separate"/>
      </w:r>
      <w:r>
        <w:rPr>
          <w:rStyle w:val="35"/>
          <w:rFonts w:hint="eastAsia" w:ascii="楷体" w:hAnsi="楷体" w:eastAsia="楷体" w:cs="Times New Roman"/>
          <w:sz w:val="24"/>
          <w:szCs w:val="24"/>
        </w:rPr>
        <w:t>第一节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加快发展特色农业</w:t>
      </w:r>
      <w:r>
        <w:rPr>
          <w:sz w:val="24"/>
          <w:szCs w:val="24"/>
        </w:rPr>
        <w:tab/>
      </w:r>
      <w:r>
        <w:rPr>
          <w:rFonts w:hint="eastAsia"/>
          <w:sz w:val="24"/>
          <w:szCs w:val="24"/>
        </w:rPr>
        <w:t>2</w:t>
      </w:r>
      <w:r>
        <w:rPr>
          <w:rFonts w:hint="eastAsia"/>
          <w:sz w:val="24"/>
          <w:szCs w:val="24"/>
        </w:rPr>
        <w:fldChar w:fldCharType="end"/>
      </w:r>
      <w:r>
        <w:rPr>
          <w:rFonts w:hint="eastAsia"/>
          <w:sz w:val="24"/>
          <w:szCs w:val="24"/>
        </w:rPr>
        <w:t>9</w:t>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"_Toc58853093" </w:instrText>
      </w:r>
      <w:r>
        <w:fldChar w:fldCharType="separate"/>
      </w:r>
      <w:r>
        <w:rPr>
          <w:rStyle w:val="35"/>
          <w:rFonts w:hint="eastAsia" w:ascii="楷体" w:hAnsi="楷体" w:eastAsia="楷体" w:cs="Times New Roman"/>
          <w:sz w:val="24"/>
          <w:szCs w:val="24"/>
        </w:rPr>
        <w:t>第二节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推动农业一二三产业融合发展</w:t>
      </w:r>
      <w:r>
        <w:rPr>
          <w:sz w:val="24"/>
          <w:szCs w:val="24"/>
        </w:rPr>
        <w:tab/>
      </w:r>
      <w:r>
        <w:rPr>
          <w:sz w:val="24"/>
          <w:szCs w:val="24"/>
        </w:rPr>
        <w:fldChar w:fldCharType="begin"/>
      </w:r>
      <w:r>
        <w:rPr>
          <w:sz w:val="24"/>
          <w:szCs w:val="24"/>
        </w:rPr>
        <w:instrText xml:space="preserve"> PAGEREF _Toc58853093 \h </w:instrText>
      </w:r>
      <w:r>
        <w:rPr>
          <w:sz w:val="24"/>
          <w:szCs w:val="24"/>
        </w:rPr>
        <w:fldChar w:fldCharType="separate"/>
      </w:r>
      <w:r>
        <w:rPr>
          <w:sz w:val="24"/>
          <w:szCs w:val="24"/>
        </w:rPr>
        <w:t>3</w:t>
      </w:r>
      <w:r>
        <w:rPr>
          <w:rFonts w:hint="eastAsia"/>
          <w:sz w:val="24"/>
          <w:szCs w:val="24"/>
        </w:rPr>
        <w:t>0</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"_Toc58853094" </w:instrText>
      </w:r>
      <w:r>
        <w:fldChar w:fldCharType="separate"/>
      </w:r>
      <w:r>
        <w:rPr>
          <w:rStyle w:val="35"/>
          <w:rFonts w:hint="eastAsia" w:ascii="楷体" w:hAnsi="楷体" w:eastAsia="楷体" w:cs="Times New Roman"/>
          <w:sz w:val="24"/>
          <w:szCs w:val="24"/>
        </w:rPr>
        <w:t>第三节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加快现代农业高质量发展</w:t>
      </w:r>
      <w:r>
        <w:rPr>
          <w:sz w:val="24"/>
          <w:szCs w:val="24"/>
        </w:rPr>
        <w:tab/>
      </w:r>
      <w:r>
        <w:rPr>
          <w:sz w:val="24"/>
          <w:szCs w:val="24"/>
        </w:rPr>
        <w:fldChar w:fldCharType="begin"/>
      </w:r>
      <w:r>
        <w:rPr>
          <w:sz w:val="24"/>
          <w:szCs w:val="24"/>
        </w:rPr>
        <w:instrText xml:space="preserve"> PAGEREF _Toc58853094 \h </w:instrText>
      </w:r>
      <w:r>
        <w:rPr>
          <w:sz w:val="24"/>
          <w:szCs w:val="24"/>
        </w:rPr>
        <w:fldChar w:fldCharType="separate"/>
      </w:r>
      <w:r>
        <w:rPr>
          <w:sz w:val="24"/>
          <w:szCs w:val="24"/>
        </w:rPr>
        <w:t>3</w:t>
      </w:r>
      <w:r>
        <w:rPr>
          <w:rFonts w:hint="eastAsia"/>
          <w:sz w:val="24"/>
          <w:szCs w:val="24"/>
        </w:rPr>
        <w:t>1</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"_Toc58853095" </w:instrText>
      </w:r>
      <w:r>
        <w:fldChar w:fldCharType="separate"/>
      </w:r>
      <w:r>
        <w:rPr>
          <w:rStyle w:val="35"/>
          <w:rFonts w:hint="eastAsia" w:ascii="楷体" w:hAnsi="楷体" w:eastAsia="楷体" w:cs="Times New Roman"/>
          <w:sz w:val="24"/>
          <w:szCs w:val="24"/>
        </w:rPr>
        <w:t>第四节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构建现代农业经营体系</w:t>
      </w:r>
      <w:r>
        <w:rPr>
          <w:sz w:val="24"/>
          <w:szCs w:val="24"/>
        </w:rPr>
        <w:tab/>
      </w:r>
      <w:r>
        <w:rPr>
          <w:sz w:val="24"/>
          <w:szCs w:val="24"/>
        </w:rPr>
        <w:fldChar w:fldCharType="begin"/>
      </w:r>
      <w:r>
        <w:rPr>
          <w:sz w:val="24"/>
          <w:szCs w:val="24"/>
        </w:rPr>
        <w:instrText xml:space="preserve"> PAGEREF _Toc58853095 \h </w:instrText>
      </w:r>
      <w:r>
        <w:rPr>
          <w:sz w:val="24"/>
          <w:szCs w:val="24"/>
        </w:rPr>
        <w:fldChar w:fldCharType="separate"/>
      </w:r>
      <w:r>
        <w:rPr>
          <w:sz w:val="24"/>
          <w:szCs w:val="24"/>
        </w:rPr>
        <w:t>3</w:t>
      </w:r>
      <w:r>
        <w:rPr>
          <w:rFonts w:hint="eastAsia"/>
          <w:sz w:val="24"/>
          <w:szCs w:val="24"/>
        </w:rPr>
        <w:t>1</w:t>
      </w:r>
      <w:r>
        <w:rPr>
          <w:sz w:val="24"/>
          <w:szCs w:val="24"/>
        </w:rPr>
        <w:fldChar w:fldCharType="end"/>
      </w:r>
      <w:r>
        <w:rPr>
          <w:sz w:val="24"/>
          <w:szCs w:val="24"/>
        </w:rPr>
        <w:fldChar w:fldCharType="end"/>
      </w:r>
    </w:p>
    <w:p>
      <w:pPr>
        <w:pStyle w:val="21"/>
        <w:tabs>
          <w:tab w:val="right" w:leader="dot" w:pos="8296"/>
        </w:tabs>
        <w:spacing w:before="0" w:after="0" w:line="600" w:lineRule="exact"/>
        <w:ind w:firstLine="0" w:firstLineChars="0"/>
        <w:rPr>
          <w:rStyle w:val="35"/>
          <w:rFonts w:ascii="黑体" w:hAnsi="黑体" w:eastAsia="黑体"/>
          <w:b w:val="0"/>
          <w:bCs w:val="0"/>
        </w:rPr>
      </w:pPr>
      <w:r>
        <w:fldChar w:fldCharType="begin"/>
      </w:r>
      <w:r>
        <w:instrText xml:space="preserve"> HYPERLINK \l "_Toc58853096" </w:instrText>
      </w:r>
      <w:r>
        <w:fldChar w:fldCharType="separate"/>
      </w:r>
      <w:r>
        <w:rPr>
          <w:rStyle w:val="35"/>
          <w:rFonts w:hint="eastAsia" w:ascii="黑体" w:hAnsi="黑体" w:eastAsia="黑体"/>
          <w:b w:val="0"/>
          <w:bCs w:val="0"/>
          <w:sz w:val="24"/>
          <w:szCs w:val="24"/>
        </w:rPr>
        <w:t>第六章</w:t>
      </w:r>
      <w:r>
        <w:rPr>
          <w:rStyle w:val="35"/>
          <w:rFonts w:ascii="黑体" w:hAnsi="黑体" w:eastAsia="黑体"/>
          <w:b w:val="0"/>
          <w:bCs w:val="0"/>
          <w:sz w:val="24"/>
          <w:szCs w:val="24"/>
        </w:rPr>
        <w:t xml:space="preserve">  </w:t>
      </w:r>
      <w:r>
        <w:rPr>
          <w:rStyle w:val="35"/>
          <w:rFonts w:hint="eastAsia" w:ascii="黑体" w:hAnsi="黑体" w:eastAsia="黑体"/>
          <w:b w:val="0"/>
          <w:bCs w:val="0"/>
          <w:sz w:val="24"/>
          <w:szCs w:val="24"/>
        </w:rPr>
        <w:t>打造“四大基地”，构建现代工业体系</w:t>
      </w:r>
      <w:r>
        <w:rPr>
          <w:rStyle w:val="35"/>
          <w:rFonts w:ascii="黑体" w:hAnsi="黑体" w:eastAsia="黑体"/>
          <w:b w:val="0"/>
          <w:bCs w:val="0"/>
        </w:rPr>
        <w:tab/>
      </w:r>
      <w:r>
        <w:rPr>
          <w:rStyle w:val="35"/>
          <w:rFonts w:ascii="Calibri" w:hAnsi="Calibri" w:eastAsia="黑体" w:cs="Calibri"/>
          <w:b w:val="0"/>
          <w:bCs w:val="0"/>
          <w:sz w:val="24"/>
          <w:szCs w:val="24"/>
        </w:rPr>
        <w:fldChar w:fldCharType="begin"/>
      </w:r>
      <w:r>
        <w:rPr>
          <w:rStyle w:val="35"/>
          <w:rFonts w:ascii="Calibri" w:hAnsi="Calibri" w:eastAsia="黑体" w:cs="Calibri"/>
          <w:b w:val="0"/>
          <w:bCs w:val="0"/>
          <w:sz w:val="24"/>
          <w:szCs w:val="24"/>
        </w:rPr>
        <w:instrText xml:space="preserve"> PAGEREF _Toc58853096 \h </w:instrText>
      </w:r>
      <w:r>
        <w:rPr>
          <w:rStyle w:val="35"/>
          <w:rFonts w:ascii="Calibri" w:hAnsi="Calibri" w:eastAsia="黑体" w:cs="Calibri"/>
          <w:b w:val="0"/>
          <w:bCs w:val="0"/>
          <w:sz w:val="24"/>
          <w:szCs w:val="24"/>
        </w:rPr>
        <w:fldChar w:fldCharType="separate"/>
      </w:r>
      <w:r>
        <w:rPr>
          <w:rStyle w:val="35"/>
          <w:rFonts w:ascii="Calibri" w:hAnsi="Calibri" w:eastAsia="黑体" w:cs="Calibri"/>
          <w:b w:val="0"/>
          <w:bCs w:val="0"/>
          <w:sz w:val="24"/>
          <w:szCs w:val="24"/>
        </w:rPr>
        <w:t>3</w:t>
      </w:r>
      <w:r>
        <w:rPr>
          <w:rStyle w:val="35"/>
          <w:rFonts w:hint="eastAsia" w:ascii="Calibri" w:hAnsi="Calibri" w:eastAsia="黑体" w:cs="Calibri"/>
          <w:b w:val="0"/>
          <w:bCs w:val="0"/>
          <w:sz w:val="24"/>
          <w:szCs w:val="24"/>
        </w:rPr>
        <w:t>3</w:t>
      </w:r>
      <w:r>
        <w:rPr>
          <w:rStyle w:val="35"/>
          <w:rFonts w:ascii="Calibri" w:hAnsi="Calibri" w:eastAsia="黑体" w:cs="Calibri"/>
          <w:b w:val="0"/>
          <w:bCs w:val="0"/>
          <w:sz w:val="24"/>
          <w:szCs w:val="24"/>
        </w:rPr>
        <w:fldChar w:fldCharType="end"/>
      </w:r>
      <w:r>
        <w:rPr>
          <w:rStyle w:val="35"/>
          <w:rFonts w:ascii="Calibri" w:hAnsi="Calibri" w:eastAsia="黑体" w:cs="Calibri"/>
          <w:b w:val="0"/>
          <w:bCs w:val="0"/>
          <w:sz w:val="24"/>
          <w:szCs w:val="24"/>
        </w:rPr>
        <w:fldChar w:fldCharType="end"/>
      </w:r>
    </w:p>
    <w:p>
      <w:pPr>
        <w:pStyle w:val="24"/>
        <w:tabs>
          <w:tab w:val="left" w:pos="1600"/>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"_Toc58853097" </w:instrText>
      </w:r>
      <w:r>
        <w:fldChar w:fldCharType="separate"/>
      </w:r>
      <w:r>
        <w:rPr>
          <w:rStyle w:val="35"/>
          <w:rFonts w:hint="eastAsia" w:ascii="楷体" w:hAnsi="楷体" w:eastAsia="楷体" w:cs="Times New Roman"/>
          <w:sz w:val="24"/>
          <w:szCs w:val="24"/>
        </w:rPr>
        <w:t>第一节</w:t>
      </w:r>
      <w:r>
        <w:rPr>
          <w:rFonts w:hint="eastAsia" w:eastAsiaTheme="minorEastAsia"/>
          <w:smallCaps w:val="0"/>
          <w:sz w:val="24"/>
          <w:szCs w:val="24"/>
        </w:rPr>
        <w:t xml:space="preserve"> </w:t>
      </w:r>
      <w:r>
        <w:rPr>
          <w:rStyle w:val="35"/>
          <w:rFonts w:hint="eastAsia" w:ascii="楷体" w:hAnsi="楷体" w:eastAsia="楷体" w:cs="Times New Roman"/>
          <w:sz w:val="24"/>
          <w:szCs w:val="24"/>
        </w:rPr>
        <w:t>培育壮大“新字号”</w:t>
      </w:r>
      <w:r>
        <w:rPr>
          <w:sz w:val="24"/>
          <w:szCs w:val="24"/>
        </w:rPr>
        <w:tab/>
      </w:r>
      <w:r>
        <w:rPr>
          <w:sz w:val="24"/>
          <w:szCs w:val="24"/>
        </w:rPr>
        <w:fldChar w:fldCharType="begin"/>
      </w:r>
      <w:r>
        <w:rPr>
          <w:sz w:val="24"/>
          <w:szCs w:val="24"/>
        </w:rPr>
        <w:instrText xml:space="preserve"> PAGEREF _Toc58853097 \h </w:instrText>
      </w:r>
      <w:r>
        <w:rPr>
          <w:sz w:val="24"/>
          <w:szCs w:val="24"/>
        </w:rPr>
        <w:fldChar w:fldCharType="separate"/>
      </w:r>
      <w:r>
        <w:rPr>
          <w:sz w:val="24"/>
          <w:szCs w:val="24"/>
        </w:rPr>
        <w:t>3</w:t>
      </w:r>
      <w:r>
        <w:rPr>
          <w:rFonts w:hint="eastAsia"/>
          <w:sz w:val="24"/>
          <w:szCs w:val="24"/>
        </w:rPr>
        <w:t>3</w:t>
      </w:r>
      <w:r>
        <w:rPr>
          <w:sz w:val="24"/>
          <w:szCs w:val="24"/>
        </w:rPr>
        <w:fldChar w:fldCharType="end"/>
      </w:r>
      <w:r>
        <w:rPr>
          <w:sz w:val="24"/>
          <w:szCs w:val="24"/>
        </w:rPr>
        <w:fldChar w:fldCharType="end"/>
      </w:r>
    </w:p>
    <w:p>
      <w:pPr>
        <w:pStyle w:val="24"/>
        <w:tabs>
          <w:tab w:val="left" w:pos="1600"/>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"_Toc58853098" </w:instrText>
      </w:r>
      <w:r>
        <w:fldChar w:fldCharType="separate"/>
      </w:r>
      <w:r>
        <w:rPr>
          <w:rStyle w:val="35"/>
          <w:rFonts w:hint="eastAsia" w:ascii="楷体" w:hAnsi="楷体" w:eastAsia="楷体" w:cs="Times New Roman"/>
          <w:sz w:val="24"/>
          <w:szCs w:val="24"/>
        </w:rPr>
        <w:t>第二节</w:t>
      </w:r>
      <w:r>
        <w:rPr>
          <w:rFonts w:hint="eastAsia" w:eastAsiaTheme="minorEastAsia"/>
          <w:smallCaps w:val="0"/>
          <w:sz w:val="24"/>
          <w:szCs w:val="24"/>
        </w:rPr>
        <w:t xml:space="preserve"> </w:t>
      </w:r>
      <w:r>
        <w:rPr>
          <w:rStyle w:val="35"/>
          <w:rFonts w:hint="eastAsia" w:ascii="楷体" w:hAnsi="楷体" w:eastAsia="楷体" w:cs="Times New Roman"/>
          <w:sz w:val="24"/>
          <w:szCs w:val="24"/>
        </w:rPr>
        <w:t>改造升级“老字号”</w:t>
      </w:r>
      <w:r>
        <w:rPr>
          <w:sz w:val="24"/>
          <w:szCs w:val="24"/>
        </w:rPr>
        <w:tab/>
      </w:r>
      <w:r>
        <w:rPr>
          <w:sz w:val="24"/>
          <w:szCs w:val="24"/>
        </w:rPr>
        <w:fldChar w:fldCharType="begin"/>
      </w:r>
      <w:r>
        <w:rPr>
          <w:sz w:val="24"/>
          <w:szCs w:val="24"/>
        </w:rPr>
        <w:instrText xml:space="preserve"> PAGEREF _Toc58853098 \h </w:instrText>
      </w:r>
      <w:r>
        <w:rPr>
          <w:sz w:val="24"/>
          <w:szCs w:val="24"/>
        </w:rPr>
        <w:fldChar w:fldCharType="separate"/>
      </w:r>
      <w:r>
        <w:rPr>
          <w:sz w:val="24"/>
          <w:szCs w:val="24"/>
        </w:rPr>
        <w:t>3</w:t>
      </w:r>
      <w:r>
        <w:rPr>
          <w:rFonts w:hint="eastAsia"/>
          <w:sz w:val="24"/>
          <w:szCs w:val="24"/>
        </w:rPr>
        <w:t>4</w:t>
      </w:r>
      <w:r>
        <w:rPr>
          <w:sz w:val="24"/>
          <w:szCs w:val="24"/>
        </w:rPr>
        <w:fldChar w:fldCharType="end"/>
      </w:r>
      <w:r>
        <w:rPr>
          <w:sz w:val="24"/>
          <w:szCs w:val="24"/>
        </w:rPr>
        <w:fldChar w:fldCharType="end"/>
      </w:r>
    </w:p>
    <w:p>
      <w:pPr>
        <w:pStyle w:val="24"/>
        <w:tabs>
          <w:tab w:val="left" w:pos="1600"/>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"_Toc58853099" </w:instrText>
      </w:r>
      <w:r>
        <w:fldChar w:fldCharType="separate"/>
      </w:r>
      <w:r>
        <w:rPr>
          <w:rStyle w:val="35"/>
          <w:rFonts w:hint="eastAsia" w:ascii="楷体" w:hAnsi="楷体" w:eastAsia="楷体" w:cs="Times New Roman"/>
          <w:sz w:val="24"/>
          <w:szCs w:val="24"/>
        </w:rPr>
        <w:t>第三节</w:t>
      </w:r>
      <w:r>
        <w:rPr>
          <w:rFonts w:hint="eastAsia" w:eastAsiaTheme="minorEastAsia"/>
          <w:smallCaps w:val="0"/>
          <w:sz w:val="24"/>
          <w:szCs w:val="24"/>
        </w:rPr>
        <w:t xml:space="preserve"> </w:t>
      </w:r>
      <w:r>
        <w:rPr>
          <w:rStyle w:val="35"/>
          <w:rFonts w:hint="eastAsia" w:ascii="楷体" w:hAnsi="楷体" w:eastAsia="楷体" w:cs="Times New Roman"/>
          <w:sz w:val="24"/>
          <w:szCs w:val="24"/>
        </w:rPr>
        <w:t>深度开发</w:t>
      </w:r>
      <w:r>
        <w:rPr>
          <w:rStyle w:val="35"/>
          <w:rFonts w:ascii="楷体" w:hAnsi="楷体" w:eastAsia="楷体" w:cs="Times New Roman"/>
          <w:sz w:val="24"/>
          <w:szCs w:val="24"/>
        </w:rPr>
        <w:t>“</w:t>
      </w:r>
      <w:r>
        <w:rPr>
          <w:rStyle w:val="35"/>
          <w:rFonts w:hint="eastAsia" w:ascii="楷体" w:hAnsi="楷体" w:eastAsia="楷体" w:cs="Times New Roman"/>
          <w:sz w:val="24"/>
          <w:szCs w:val="24"/>
        </w:rPr>
        <w:t>原字号</w:t>
      </w:r>
      <w:r>
        <w:rPr>
          <w:rStyle w:val="35"/>
          <w:rFonts w:ascii="楷体" w:hAnsi="楷体" w:eastAsia="楷体" w:cs="Times New Roman"/>
          <w:sz w:val="24"/>
          <w:szCs w:val="24"/>
        </w:rPr>
        <w:t>”</w:t>
      </w:r>
      <w:r>
        <w:rPr>
          <w:sz w:val="24"/>
          <w:szCs w:val="24"/>
        </w:rPr>
        <w:tab/>
      </w:r>
      <w:r>
        <w:rPr>
          <w:sz w:val="24"/>
          <w:szCs w:val="24"/>
        </w:rPr>
        <w:fldChar w:fldCharType="begin"/>
      </w:r>
      <w:r>
        <w:rPr>
          <w:sz w:val="24"/>
          <w:szCs w:val="24"/>
        </w:rPr>
        <w:instrText xml:space="preserve"> PAGEREF _Toc58853099 \h </w:instrText>
      </w:r>
      <w:r>
        <w:rPr>
          <w:sz w:val="24"/>
          <w:szCs w:val="24"/>
        </w:rPr>
        <w:fldChar w:fldCharType="separate"/>
      </w:r>
      <w:r>
        <w:rPr>
          <w:sz w:val="24"/>
          <w:szCs w:val="24"/>
        </w:rPr>
        <w:t>3</w:t>
      </w:r>
      <w:r>
        <w:rPr>
          <w:rFonts w:hint="eastAsia"/>
          <w:sz w:val="24"/>
          <w:szCs w:val="24"/>
        </w:rPr>
        <w:t>5</w:t>
      </w:r>
      <w:r>
        <w:rPr>
          <w:sz w:val="24"/>
          <w:szCs w:val="24"/>
        </w:rPr>
        <w:fldChar w:fldCharType="end"/>
      </w:r>
      <w:r>
        <w:rPr>
          <w:sz w:val="24"/>
          <w:szCs w:val="24"/>
        </w:rPr>
        <w:fldChar w:fldCharType="end"/>
      </w:r>
    </w:p>
    <w:p>
      <w:pPr>
        <w:pStyle w:val="24"/>
        <w:tabs>
          <w:tab w:val="left" w:pos="1600"/>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"_Toc58853100" </w:instrText>
      </w:r>
      <w:r>
        <w:fldChar w:fldCharType="separate"/>
      </w:r>
      <w:r>
        <w:rPr>
          <w:rStyle w:val="35"/>
          <w:rFonts w:hint="eastAsia" w:ascii="楷体" w:hAnsi="楷体" w:eastAsia="楷体" w:cs="Times New Roman"/>
          <w:sz w:val="24"/>
          <w:szCs w:val="24"/>
        </w:rPr>
        <w:t>第四节</w:t>
      </w:r>
      <w:r>
        <w:rPr>
          <w:rFonts w:hint="eastAsia" w:eastAsiaTheme="minorEastAsia"/>
          <w:smallCaps w:val="0"/>
          <w:sz w:val="24"/>
          <w:szCs w:val="24"/>
        </w:rPr>
        <w:t xml:space="preserve"> </w:t>
      </w:r>
      <w:r>
        <w:rPr>
          <w:rStyle w:val="35"/>
          <w:rFonts w:hint="eastAsia" w:ascii="楷体" w:hAnsi="楷体" w:eastAsia="楷体" w:cs="Times New Roman"/>
          <w:sz w:val="24"/>
          <w:szCs w:val="24"/>
        </w:rPr>
        <w:t>推动开发区高质量发展</w:t>
      </w:r>
      <w:r>
        <w:rPr>
          <w:sz w:val="24"/>
          <w:szCs w:val="24"/>
        </w:rPr>
        <w:tab/>
      </w:r>
      <w:r>
        <w:rPr>
          <w:sz w:val="24"/>
          <w:szCs w:val="24"/>
        </w:rPr>
        <w:fldChar w:fldCharType="begin"/>
      </w:r>
      <w:r>
        <w:rPr>
          <w:sz w:val="24"/>
          <w:szCs w:val="24"/>
        </w:rPr>
        <w:instrText xml:space="preserve"> PAGEREF _Toc58853100 \h </w:instrText>
      </w:r>
      <w:r>
        <w:rPr>
          <w:sz w:val="24"/>
          <w:szCs w:val="24"/>
        </w:rPr>
        <w:fldChar w:fldCharType="separate"/>
      </w:r>
      <w:r>
        <w:rPr>
          <w:sz w:val="24"/>
          <w:szCs w:val="24"/>
        </w:rPr>
        <w:t>3</w:t>
      </w:r>
      <w:r>
        <w:rPr>
          <w:rFonts w:hint="eastAsia"/>
          <w:sz w:val="24"/>
          <w:szCs w:val="24"/>
        </w:rPr>
        <w:t>6</w:t>
      </w:r>
      <w:r>
        <w:rPr>
          <w:sz w:val="24"/>
          <w:szCs w:val="24"/>
        </w:rPr>
        <w:fldChar w:fldCharType="end"/>
      </w:r>
      <w:r>
        <w:rPr>
          <w:sz w:val="24"/>
          <w:szCs w:val="24"/>
        </w:rPr>
        <w:fldChar w:fldCharType="end"/>
      </w:r>
    </w:p>
    <w:p>
      <w:pPr>
        <w:pStyle w:val="21"/>
        <w:tabs>
          <w:tab w:val="right" w:leader="dot" w:pos="8296"/>
        </w:tabs>
        <w:spacing w:before="0" w:after="0" w:line="600" w:lineRule="exact"/>
        <w:ind w:firstLine="0" w:firstLineChars="0"/>
        <w:rPr>
          <w:rStyle w:val="35"/>
          <w:rFonts w:ascii="黑体" w:hAnsi="黑体" w:eastAsia="黑体"/>
          <w:b w:val="0"/>
          <w:bCs w:val="0"/>
        </w:rPr>
      </w:pPr>
      <w:r>
        <w:fldChar w:fldCharType="begin"/>
      </w:r>
      <w:r>
        <w:instrText xml:space="preserve"> HYPERLINK \l "_Toc58853101" </w:instrText>
      </w:r>
      <w:r>
        <w:fldChar w:fldCharType="separate"/>
      </w:r>
      <w:r>
        <w:rPr>
          <w:rStyle w:val="35"/>
          <w:rFonts w:hint="eastAsia" w:ascii="黑体" w:hAnsi="黑体" w:eastAsia="黑体"/>
          <w:b w:val="0"/>
          <w:bCs w:val="0"/>
          <w:sz w:val="24"/>
          <w:szCs w:val="24"/>
        </w:rPr>
        <w:t>第七章</w:t>
      </w:r>
      <w:r>
        <w:rPr>
          <w:rStyle w:val="35"/>
          <w:rFonts w:ascii="黑体" w:hAnsi="黑体" w:eastAsia="黑体"/>
          <w:b w:val="0"/>
          <w:bCs w:val="0"/>
          <w:sz w:val="24"/>
          <w:szCs w:val="24"/>
        </w:rPr>
        <w:t xml:space="preserve"> </w:t>
      </w:r>
      <w:r>
        <w:rPr>
          <w:rStyle w:val="35"/>
          <w:rFonts w:hint="eastAsia" w:ascii="黑体" w:hAnsi="黑体" w:eastAsia="黑体"/>
          <w:b w:val="0"/>
          <w:bCs w:val="0"/>
          <w:sz w:val="24"/>
          <w:szCs w:val="24"/>
        </w:rPr>
        <w:t>做强做优现代服务业，提升城市服务功能</w:t>
      </w:r>
      <w:r>
        <w:rPr>
          <w:rStyle w:val="35"/>
          <w:rFonts w:ascii="黑体" w:hAnsi="黑体" w:eastAsia="黑体"/>
          <w:b w:val="0"/>
          <w:bCs w:val="0"/>
        </w:rPr>
        <w:tab/>
      </w:r>
      <w:r>
        <w:rPr>
          <w:rStyle w:val="35"/>
          <w:rFonts w:ascii="Calibri" w:hAnsi="Calibri" w:eastAsia="黑体" w:cs="Calibri"/>
          <w:b w:val="0"/>
          <w:bCs w:val="0"/>
          <w:sz w:val="24"/>
          <w:szCs w:val="24"/>
        </w:rPr>
        <w:t>3</w:t>
      </w:r>
      <w:r>
        <w:rPr>
          <w:rStyle w:val="35"/>
          <w:rFonts w:ascii="Calibri" w:hAnsi="Calibri" w:eastAsia="黑体" w:cs="Calibri"/>
          <w:b w:val="0"/>
          <w:bCs w:val="0"/>
          <w:sz w:val="24"/>
          <w:szCs w:val="24"/>
        </w:rPr>
        <w:fldChar w:fldCharType="end"/>
      </w:r>
      <w:r>
        <w:rPr>
          <w:rStyle w:val="35"/>
          <w:rFonts w:ascii="Calibri" w:hAnsi="Calibri" w:eastAsia="楷体" w:cs="Calibri"/>
          <w:b w:val="0"/>
          <w:bCs w:val="0"/>
          <w:sz w:val="24"/>
          <w:szCs w:val="24"/>
        </w:rPr>
        <w:t>8</w:t>
      </w:r>
    </w:p>
    <w:p>
      <w:pPr>
        <w:pStyle w:val="24"/>
        <w:tabs>
          <w:tab w:val="right" w:leader="dot" w:pos="8296"/>
        </w:tabs>
        <w:spacing w:line="600" w:lineRule="exact"/>
        <w:ind w:firstLine="0" w:firstLineChars="0"/>
        <w:rPr>
          <w:smallCaps w:val="0"/>
          <w:sz w:val="24"/>
          <w:szCs w:val="24"/>
        </w:rPr>
      </w:pPr>
      <w:r>
        <w:fldChar w:fldCharType="begin"/>
      </w:r>
      <w:r>
        <w:instrText xml:space="preserve"> HYPERLINK \l "_Toc58853102" </w:instrText>
      </w:r>
      <w:r>
        <w:fldChar w:fldCharType="separate"/>
      </w:r>
      <w:r>
        <w:rPr>
          <w:rStyle w:val="35"/>
          <w:rFonts w:hint="eastAsia" w:ascii="楷体" w:hAnsi="楷体" w:eastAsia="楷体" w:cs="Times New Roman"/>
          <w:sz w:val="24"/>
          <w:szCs w:val="24"/>
        </w:rPr>
        <w:t>第一节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推动生活性服务业转型升级</w:t>
      </w:r>
      <w:r>
        <w:rPr>
          <w:sz w:val="24"/>
          <w:szCs w:val="24"/>
        </w:rPr>
        <w:tab/>
      </w:r>
      <w:r>
        <w:rPr>
          <w:rFonts w:hint="eastAsia"/>
          <w:sz w:val="24"/>
          <w:szCs w:val="24"/>
        </w:rPr>
        <w:t>3</w:t>
      </w:r>
      <w:r>
        <w:rPr>
          <w:rFonts w:hint="eastAsia"/>
          <w:sz w:val="24"/>
          <w:szCs w:val="24"/>
        </w:rPr>
        <w:fldChar w:fldCharType="end"/>
      </w:r>
      <w:r>
        <w:rPr>
          <w:rFonts w:hint="eastAsia"/>
          <w:sz w:val="24"/>
          <w:szCs w:val="24"/>
        </w:rPr>
        <w:t>8</w:t>
      </w:r>
    </w:p>
    <w:p>
      <w:pPr>
        <w:pStyle w:val="24"/>
        <w:tabs>
          <w:tab w:val="right" w:leader="dot" w:pos="8296"/>
        </w:tabs>
        <w:spacing w:line="600" w:lineRule="exact"/>
        <w:ind w:firstLine="0" w:firstLineChars="0"/>
        <w:rPr>
          <w:smallCaps w:val="0"/>
          <w:sz w:val="24"/>
          <w:szCs w:val="24"/>
        </w:rPr>
      </w:pPr>
      <w:r>
        <w:fldChar w:fldCharType="begin"/>
      </w:r>
      <w:r>
        <w:instrText xml:space="preserve"> HYPERLINK \l "_Toc58853103" </w:instrText>
      </w:r>
      <w:r>
        <w:fldChar w:fldCharType="separate"/>
      </w:r>
      <w:r>
        <w:rPr>
          <w:rStyle w:val="35"/>
          <w:rFonts w:hint="eastAsia" w:ascii="楷体" w:hAnsi="楷体" w:eastAsia="楷体" w:cs="Times New Roman"/>
          <w:sz w:val="24"/>
          <w:szCs w:val="24"/>
        </w:rPr>
        <w:t>第二节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加快发展生产性服务业</w:t>
      </w:r>
      <w:r>
        <w:rPr>
          <w:sz w:val="24"/>
          <w:szCs w:val="24"/>
        </w:rPr>
        <w:tab/>
      </w:r>
      <w:r>
        <w:rPr>
          <w:rFonts w:hint="eastAsia"/>
          <w:sz w:val="24"/>
          <w:szCs w:val="24"/>
        </w:rPr>
        <w:t>3</w:t>
      </w:r>
      <w:r>
        <w:rPr>
          <w:rFonts w:hint="eastAsia"/>
          <w:sz w:val="24"/>
          <w:szCs w:val="24"/>
        </w:rPr>
        <w:fldChar w:fldCharType="end"/>
      </w:r>
      <w:r>
        <w:rPr>
          <w:rFonts w:hint="eastAsia"/>
          <w:sz w:val="24"/>
          <w:szCs w:val="24"/>
        </w:rPr>
        <w:t>9</w:t>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"_Toc58853104" </w:instrText>
      </w:r>
      <w:r>
        <w:fldChar w:fldCharType="separate"/>
      </w:r>
      <w:r>
        <w:rPr>
          <w:rStyle w:val="35"/>
          <w:rFonts w:hint="eastAsia" w:ascii="楷体" w:hAnsi="楷体" w:eastAsia="楷体" w:cs="Times New Roman"/>
          <w:sz w:val="24"/>
          <w:szCs w:val="24"/>
        </w:rPr>
        <w:t>第三节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打造生态宜居康养中心</w:t>
      </w:r>
      <w:r>
        <w:rPr>
          <w:sz w:val="24"/>
          <w:szCs w:val="24"/>
        </w:rPr>
        <w:tab/>
      </w:r>
      <w:r>
        <w:rPr>
          <w:sz w:val="24"/>
          <w:szCs w:val="24"/>
        </w:rPr>
        <w:fldChar w:fldCharType="begin"/>
      </w:r>
      <w:r>
        <w:rPr>
          <w:sz w:val="24"/>
          <w:szCs w:val="24"/>
        </w:rPr>
        <w:instrText xml:space="preserve"> PAGEREF _Toc58853104 \h </w:instrText>
      </w:r>
      <w:r>
        <w:rPr>
          <w:sz w:val="24"/>
          <w:szCs w:val="24"/>
        </w:rPr>
        <w:fldChar w:fldCharType="separate"/>
      </w:r>
      <w:r>
        <w:rPr>
          <w:sz w:val="24"/>
          <w:szCs w:val="24"/>
        </w:rPr>
        <w:t>4</w:t>
      </w:r>
      <w:r>
        <w:rPr>
          <w:rFonts w:hint="eastAsia"/>
          <w:sz w:val="24"/>
          <w:szCs w:val="24"/>
        </w:rPr>
        <w:t>1</w:t>
      </w:r>
      <w:r>
        <w:rPr>
          <w:sz w:val="24"/>
          <w:szCs w:val="24"/>
        </w:rPr>
        <w:fldChar w:fldCharType="end"/>
      </w:r>
      <w:r>
        <w:rPr>
          <w:sz w:val="24"/>
          <w:szCs w:val="24"/>
        </w:rPr>
        <w:fldChar w:fldCharType="end"/>
      </w:r>
    </w:p>
    <w:p>
      <w:pPr>
        <w:pStyle w:val="21"/>
        <w:tabs>
          <w:tab w:val="right" w:leader="dot" w:pos="8296"/>
        </w:tabs>
        <w:spacing w:before="0" w:after="0" w:line="600" w:lineRule="exact"/>
        <w:ind w:firstLine="0" w:firstLineChars="0"/>
        <w:rPr>
          <w:rStyle w:val="35"/>
          <w:rFonts w:ascii="黑体" w:hAnsi="黑体" w:eastAsia="黑体"/>
          <w:b w:val="0"/>
          <w:bCs w:val="0"/>
        </w:rPr>
      </w:pPr>
      <w:r>
        <w:fldChar w:fldCharType="begin"/>
      </w:r>
      <w:r>
        <w:instrText xml:space="preserve"> HYPERLINK \l "_Toc58853105" </w:instrText>
      </w:r>
      <w:r>
        <w:fldChar w:fldCharType="separate"/>
      </w:r>
      <w:r>
        <w:rPr>
          <w:rStyle w:val="35"/>
          <w:rFonts w:hint="eastAsia" w:ascii="黑体" w:hAnsi="黑体" w:eastAsia="黑体"/>
          <w:b w:val="0"/>
          <w:bCs w:val="0"/>
          <w:sz w:val="24"/>
          <w:szCs w:val="24"/>
        </w:rPr>
        <w:t>第八章</w:t>
      </w:r>
      <w:r>
        <w:rPr>
          <w:rStyle w:val="35"/>
          <w:rFonts w:ascii="黑体" w:hAnsi="黑体" w:eastAsia="黑体"/>
          <w:b w:val="0"/>
          <w:bCs w:val="0"/>
          <w:sz w:val="24"/>
          <w:szCs w:val="24"/>
        </w:rPr>
        <w:t xml:space="preserve"> </w:t>
      </w:r>
      <w:r>
        <w:rPr>
          <w:rStyle w:val="35"/>
          <w:rFonts w:hint="eastAsia" w:ascii="黑体" w:hAnsi="黑体" w:eastAsia="黑体"/>
          <w:b w:val="0"/>
          <w:bCs w:val="0"/>
          <w:sz w:val="24"/>
          <w:szCs w:val="24"/>
        </w:rPr>
        <w:t>挖掘文化内涵，打造复兴城市记忆文旅名城</w:t>
      </w:r>
      <w:r>
        <w:rPr>
          <w:rStyle w:val="35"/>
          <w:rFonts w:ascii="黑体" w:hAnsi="黑体" w:eastAsia="黑体"/>
          <w:b w:val="0"/>
          <w:bCs w:val="0"/>
        </w:rPr>
        <w:tab/>
      </w:r>
      <w:r>
        <w:rPr>
          <w:rStyle w:val="35"/>
          <w:rFonts w:ascii="Calibri" w:hAnsi="Calibri" w:eastAsia="黑体" w:cs="Calibri"/>
          <w:b w:val="0"/>
          <w:bCs w:val="0"/>
          <w:sz w:val="24"/>
          <w:szCs w:val="24"/>
        </w:rPr>
        <w:t>4</w:t>
      </w:r>
      <w:r>
        <w:rPr>
          <w:rStyle w:val="35"/>
          <w:rFonts w:ascii="Calibri" w:hAnsi="Calibri" w:eastAsia="黑体" w:cs="Calibri"/>
          <w:b w:val="0"/>
          <w:bCs w:val="0"/>
          <w:sz w:val="24"/>
          <w:szCs w:val="24"/>
        </w:rPr>
        <w:fldChar w:fldCharType="end"/>
      </w:r>
      <w:r>
        <w:rPr>
          <w:rStyle w:val="35"/>
          <w:rFonts w:ascii="Calibri" w:hAnsi="Calibri" w:eastAsia="黑体" w:cs="Calibri"/>
          <w:b w:val="0"/>
          <w:bCs w:val="0"/>
          <w:sz w:val="24"/>
          <w:szCs w:val="24"/>
        </w:rPr>
        <w:t>4</w:t>
      </w:r>
    </w:p>
    <w:p>
      <w:pPr>
        <w:pStyle w:val="24"/>
        <w:tabs>
          <w:tab w:val="right" w:leader="dot" w:pos="8296"/>
        </w:tabs>
        <w:spacing w:line="600" w:lineRule="exact"/>
        <w:ind w:firstLine="0" w:firstLineChars="0"/>
        <w:rPr>
          <w:smallCaps w:val="0"/>
          <w:sz w:val="24"/>
          <w:szCs w:val="24"/>
        </w:rPr>
      </w:pPr>
      <w:r>
        <w:fldChar w:fldCharType="begin"/>
      </w:r>
      <w:r>
        <w:instrText xml:space="preserve"> HYPERLINK \l "_Toc58853106" </w:instrText>
      </w:r>
      <w:r>
        <w:fldChar w:fldCharType="separate"/>
      </w:r>
      <w:r>
        <w:rPr>
          <w:rStyle w:val="35"/>
          <w:rFonts w:hint="eastAsia" w:ascii="楷体" w:hAnsi="楷体" w:eastAsia="楷体" w:cs="Times New Roman"/>
          <w:sz w:val="24"/>
          <w:szCs w:val="24"/>
        </w:rPr>
        <w:t>第一节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打造全域旅游空间布局</w:t>
      </w:r>
      <w:r>
        <w:rPr>
          <w:sz w:val="24"/>
          <w:szCs w:val="24"/>
        </w:rPr>
        <w:tab/>
      </w:r>
      <w:r>
        <w:rPr>
          <w:rFonts w:hint="eastAsia"/>
          <w:sz w:val="24"/>
          <w:szCs w:val="24"/>
        </w:rPr>
        <w:t>4</w:t>
      </w:r>
      <w:r>
        <w:rPr>
          <w:rFonts w:hint="eastAsia"/>
          <w:sz w:val="24"/>
          <w:szCs w:val="24"/>
        </w:rPr>
        <w:fldChar w:fldCharType="end"/>
      </w:r>
      <w:r>
        <w:rPr>
          <w:rFonts w:hint="eastAsia"/>
          <w:sz w:val="24"/>
          <w:szCs w:val="24"/>
        </w:rPr>
        <w:t>4</w:t>
      </w:r>
    </w:p>
    <w:p>
      <w:pPr>
        <w:pStyle w:val="24"/>
        <w:tabs>
          <w:tab w:val="right" w:leader="dot" w:pos="8296"/>
        </w:tabs>
        <w:spacing w:line="600" w:lineRule="exact"/>
        <w:ind w:firstLine="0" w:firstLineChars="0"/>
        <w:rPr>
          <w:smallCaps w:val="0"/>
          <w:sz w:val="24"/>
          <w:szCs w:val="24"/>
        </w:rPr>
      </w:pPr>
      <w:r>
        <w:fldChar w:fldCharType="begin"/>
      </w:r>
      <w:r>
        <w:instrText xml:space="preserve"> HYPERLINK \l "_Toc58853107" </w:instrText>
      </w:r>
      <w:r>
        <w:fldChar w:fldCharType="separate"/>
      </w:r>
      <w:r>
        <w:rPr>
          <w:rStyle w:val="35"/>
          <w:rFonts w:hint="eastAsia" w:ascii="楷体" w:hAnsi="楷体" w:eastAsia="楷体" w:cs="Times New Roman"/>
          <w:sz w:val="24"/>
          <w:szCs w:val="24"/>
        </w:rPr>
        <w:t>第二节</w:t>
      </w:r>
      <w:r>
        <w:rPr>
          <w:rStyle w:val="35"/>
          <w:rFonts w:ascii="楷体" w:hAnsi="楷体" w:eastAsia="楷体" w:cs="Times New Roman"/>
          <w:sz w:val="24"/>
          <w:szCs w:val="24"/>
        </w:rPr>
        <w:t xml:space="preserve"> </w:t>
      </w:r>
      <w:r>
        <w:rPr>
          <w:rStyle w:val="35"/>
          <w:rFonts w:hint="eastAsia" w:ascii="楷体" w:hAnsi="楷体" w:eastAsia="楷体" w:cs="Times New Roman"/>
          <w:sz w:val="24"/>
          <w:szCs w:val="24"/>
        </w:rPr>
        <w:t>推动文化旅游体育融合发展</w:t>
      </w:r>
      <w:r>
        <w:rPr>
          <w:sz w:val="24"/>
          <w:szCs w:val="24"/>
        </w:rPr>
        <w:tab/>
      </w:r>
      <w:r>
        <w:rPr>
          <w:rFonts w:hint="eastAsia"/>
          <w:sz w:val="24"/>
          <w:szCs w:val="24"/>
        </w:rPr>
        <w:t>4</w:t>
      </w:r>
      <w:r>
        <w:rPr>
          <w:rFonts w:hint="eastAsia"/>
          <w:sz w:val="24"/>
          <w:szCs w:val="24"/>
        </w:rPr>
        <w:fldChar w:fldCharType="end"/>
      </w:r>
      <w:r>
        <w:rPr>
          <w:rFonts w:hint="eastAsia"/>
          <w:sz w:val="24"/>
          <w:szCs w:val="24"/>
        </w:rPr>
        <w:t>4</w:t>
      </w:r>
    </w:p>
    <w:p>
      <w:pPr>
        <w:pStyle w:val="24"/>
        <w:tabs>
          <w:tab w:val="right" w:leader="dot" w:pos="8296"/>
        </w:tabs>
        <w:spacing w:line="600" w:lineRule="exact"/>
        <w:ind w:firstLine="0" w:firstLineChars="0"/>
        <w:rPr>
          <w:smallCaps w:val="0"/>
          <w:sz w:val="24"/>
          <w:szCs w:val="24"/>
        </w:rPr>
      </w:pPr>
      <w:r>
        <w:fldChar w:fldCharType="begin"/>
      </w:r>
      <w:r>
        <w:instrText xml:space="preserve"> HYPERLINK \l "_Toc58853108" </w:instrText>
      </w:r>
      <w:r>
        <w:fldChar w:fldCharType="separate"/>
      </w:r>
      <w:r>
        <w:rPr>
          <w:rStyle w:val="35"/>
          <w:rFonts w:hint="eastAsia" w:ascii="楷体" w:hAnsi="楷体" w:eastAsia="楷体"/>
          <w:sz w:val="24"/>
          <w:szCs w:val="24"/>
        </w:rPr>
        <w:t>第三节</w:t>
      </w:r>
      <w:r>
        <w:rPr>
          <w:rStyle w:val="35"/>
          <w:rFonts w:ascii="楷体" w:hAnsi="楷体" w:eastAsia="楷体"/>
          <w:sz w:val="24"/>
          <w:szCs w:val="24"/>
        </w:rPr>
        <w:t xml:space="preserve"> </w:t>
      </w:r>
      <w:r>
        <w:rPr>
          <w:rStyle w:val="35"/>
          <w:rFonts w:hint="eastAsia" w:ascii="楷体" w:hAnsi="楷体" w:eastAsia="楷体"/>
          <w:sz w:val="24"/>
          <w:szCs w:val="24"/>
        </w:rPr>
        <w:t>完善全域旅游基础设施</w:t>
      </w:r>
      <w:r>
        <w:rPr>
          <w:sz w:val="24"/>
          <w:szCs w:val="24"/>
        </w:rPr>
        <w:tab/>
      </w:r>
      <w:r>
        <w:rPr>
          <w:rFonts w:hint="eastAsia"/>
          <w:sz w:val="24"/>
          <w:szCs w:val="24"/>
        </w:rPr>
        <w:t>4</w:t>
      </w:r>
      <w:r>
        <w:rPr>
          <w:rFonts w:hint="eastAsia"/>
          <w:sz w:val="24"/>
          <w:szCs w:val="24"/>
        </w:rPr>
        <w:fldChar w:fldCharType="end"/>
      </w:r>
      <w:r>
        <w:rPr>
          <w:rFonts w:hint="eastAsia"/>
          <w:sz w:val="24"/>
          <w:szCs w:val="24"/>
        </w:rPr>
        <w:t>6</w:t>
      </w:r>
    </w:p>
    <w:p>
      <w:pPr>
        <w:pStyle w:val="21"/>
        <w:tabs>
          <w:tab w:val="right" w:leader="dot" w:pos="8296"/>
        </w:tabs>
        <w:spacing w:before="0" w:after="0" w:line="600" w:lineRule="exact"/>
        <w:ind w:firstLine="0" w:firstLineChars="0"/>
        <w:rPr>
          <w:rStyle w:val="35"/>
          <w:rFonts w:ascii="黑体" w:hAnsi="黑体" w:eastAsia="黑体"/>
          <w:b w:val="0"/>
          <w:bCs w:val="0"/>
        </w:rPr>
      </w:pPr>
      <w:r>
        <w:fldChar w:fldCharType="begin"/>
      </w:r>
      <w:r>
        <w:instrText xml:space="preserve"> HYPERLINK \l "_Toc58853109" </w:instrText>
      </w:r>
      <w:r>
        <w:fldChar w:fldCharType="separate"/>
      </w:r>
      <w:r>
        <w:rPr>
          <w:rStyle w:val="35"/>
          <w:rFonts w:hint="eastAsia" w:ascii="黑体" w:hAnsi="黑体" w:eastAsia="黑体"/>
          <w:b w:val="0"/>
          <w:bCs w:val="0"/>
          <w:sz w:val="24"/>
          <w:szCs w:val="24"/>
        </w:rPr>
        <w:t>第九章</w:t>
      </w:r>
      <w:r>
        <w:rPr>
          <w:rStyle w:val="35"/>
          <w:rFonts w:ascii="黑体" w:hAnsi="黑体" w:eastAsia="黑体"/>
          <w:b w:val="0"/>
          <w:bCs w:val="0"/>
          <w:sz w:val="24"/>
          <w:szCs w:val="24"/>
        </w:rPr>
        <w:t xml:space="preserve"> </w:t>
      </w:r>
      <w:r>
        <w:rPr>
          <w:rStyle w:val="35"/>
          <w:rFonts w:hint="eastAsia" w:ascii="黑体" w:hAnsi="黑体" w:eastAsia="黑体"/>
          <w:b w:val="0"/>
          <w:bCs w:val="0"/>
          <w:sz w:val="24"/>
          <w:szCs w:val="24"/>
        </w:rPr>
        <w:t>坚持协调发展，构建城乡一体化新格局</w:t>
      </w:r>
      <w:r>
        <w:rPr>
          <w:rStyle w:val="35"/>
          <w:rFonts w:ascii="黑体" w:hAnsi="黑体" w:eastAsia="黑体"/>
          <w:b w:val="0"/>
          <w:bCs w:val="0"/>
        </w:rPr>
        <w:tab/>
      </w:r>
      <w:r>
        <w:rPr>
          <w:rStyle w:val="35"/>
          <w:rFonts w:ascii="Calibri" w:hAnsi="Calibri" w:eastAsia="黑体" w:cs="Calibri"/>
          <w:b w:val="0"/>
          <w:bCs w:val="0"/>
          <w:sz w:val="24"/>
          <w:szCs w:val="24"/>
        </w:rPr>
        <w:t>4</w:t>
      </w:r>
      <w:r>
        <w:rPr>
          <w:rStyle w:val="35"/>
          <w:rFonts w:ascii="Calibri" w:hAnsi="Calibri" w:eastAsia="黑体" w:cs="Calibri"/>
          <w:b w:val="0"/>
          <w:bCs w:val="0"/>
          <w:sz w:val="24"/>
          <w:szCs w:val="24"/>
        </w:rPr>
        <w:fldChar w:fldCharType="end"/>
      </w:r>
      <w:r>
        <w:rPr>
          <w:rStyle w:val="35"/>
          <w:rFonts w:ascii="Calibri" w:hAnsi="Calibri" w:eastAsia="黑体" w:cs="Calibri"/>
          <w:b w:val="0"/>
          <w:bCs w:val="0"/>
          <w:sz w:val="24"/>
          <w:szCs w:val="24"/>
        </w:rPr>
        <w:t>8</w:t>
      </w:r>
    </w:p>
    <w:p>
      <w:pPr>
        <w:pStyle w:val="24"/>
        <w:tabs>
          <w:tab w:val="left" w:pos="1600"/>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"_Toc58853110" </w:instrText>
      </w:r>
      <w:r>
        <w:fldChar w:fldCharType="separate"/>
      </w:r>
      <w:r>
        <w:rPr>
          <w:rStyle w:val="35"/>
          <w:rFonts w:hint="eastAsia" w:ascii="楷体" w:hAnsi="楷体" w:eastAsia="楷体"/>
          <w:sz w:val="24"/>
          <w:szCs w:val="24"/>
        </w:rPr>
        <w:t>第一节</w:t>
      </w:r>
      <w:r>
        <w:rPr>
          <w:rFonts w:hint="eastAsia" w:eastAsiaTheme="minorEastAsia"/>
          <w:smallCaps w:val="0"/>
          <w:sz w:val="24"/>
          <w:szCs w:val="24"/>
        </w:rPr>
        <w:t xml:space="preserve"> </w:t>
      </w:r>
      <w:r>
        <w:rPr>
          <w:rStyle w:val="35"/>
          <w:rFonts w:hint="eastAsia" w:ascii="楷体" w:hAnsi="楷体" w:eastAsia="楷体"/>
          <w:sz w:val="24"/>
          <w:szCs w:val="24"/>
        </w:rPr>
        <w:t>加快推进绿色宜居城市建设</w:t>
      </w:r>
      <w:r>
        <w:rPr>
          <w:sz w:val="24"/>
          <w:szCs w:val="24"/>
        </w:rPr>
        <w:tab/>
      </w:r>
      <w:r>
        <w:rPr>
          <w:sz w:val="24"/>
          <w:szCs w:val="24"/>
        </w:rPr>
        <w:fldChar w:fldCharType="begin"/>
      </w:r>
      <w:r>
        <w:rPr>
          <w:sz w:val="24"/>
          <w:szCs w:val="24"/>
        </w:rPr>
        <w:instrText xml:space="preserve"> PAGEREF _Toc58853110 \h </w:instrText>
      </w:r>
      <w:r>
        <w:rPr>
          <w:sz w:val="24"/>
          <w:szCs w:val="24"/>
        </w:rPr>
        <w:fldChar w:fldCharType="separate"/>
      </w:r>
      <w:r>
        <w:rPr>
          <w:sz w:val="24"/>
          <w:szCs w:val="24"/>
        </w:rPr>
        <w:t>4</w:t>
      </w:r>
      <w:r>
        <w:rPr>
          <w:rFonts w:hint="eastAsia"/>
          <w:sz w:val="24"/>
          <w:szCs w:val="24"/>
        </w:rPr>
        <w:t>8</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smallCaps w:val="0"/>
          <w:sz w:val="24"/>
          <w:szCs w:val="24"/>
        </w:rPr>
      </w:pPr>
      <w:r>
        <w:fldChar w:fldCharType="begin"/>
      </w:r>
      <w:r>
        <w:instrText xml:space="preserve"> HYPERLINK \l "_Toc58853111" </w:instrText>
      </w:r>
      <w:r>
        <w:fldChar w:fldCharType="separate"/>
      </w:r>
      <w:r>
        <w:rPr>
          <w:rStyle w:val="35"/>
          <w:rFonts w:hint="eastAsia" w:ascii="楷体" w:hAnsi="楷体" w:eastAsia="楷体"/>
          <w:sz w:val="24"/>
          <w:szCs w:val="24"/>
        </w:rPr>
        <w:t>第二节</w:t>
      </w:r>
      <w:r>
        <w:rPr>
          <w:rStyle w:val="35"/>
          <w:rFonts w:ascii="楷体" w:hAnsi="楷体" w:eastAsia="楷体"/>
          <w:sz w:val="24"/>
          <w:szCs w:val="24"/>
        </w:rPr>
        <w:t xml:space="preserve"> </w:t>
      </w:r>
      <w:r>
        <w:rPr>
          <w:rStyle w:val="35"/>
          <w:rFonts w:hint="eastAsia" w:ascii="楷体" w:hAnsi="楷体" w:eastAsia="楷体"/>
          <w:sz w:val="24"/>
          <w:szCs w:val="24"/>
        </w:rPr>
        <w:t>全面推进新型城镇化建设</w:t>
      </w:r>
      <w:r>
        <w:rPr>
          <w:sz w:val="24"/>
          <w:szCs w:val="24"/>
        </w:rPr>
        <w:tab/>
      </w:r>
      <w:r>
        <w:rPr>
          <w:rFonts w:hint="eastAsia"/>
          <w:sz w:val="24"/>
          <w:szCs w:val="24"/>
        </w:rPr>
        <w:t>4</w:t>
      </w:r>
      <w:r>
        <w:rPr>
          <w:rFonts w:hint="eastAsia"/>
          <w:sz w:val="24"/>
          <w:szCs w:val="24"/>
        </w:rPr>
        <w:fldChar w:fldCharType="end"/>
      </w:r>
      <w:r>
        <w:rPr>
          <w:rFonts w:hint="eastAsia"/>
          <w:sz w:val="24"/>
          <w:szCs w:val="24"/>
        </w:rPr>
        <w:t>9</w:t>
      </w:r>
    </w:p>
    <w:p>
      <w:pPr>
        <w:pStyle w:val="24"/>
        <w:tabs>
          <w:tab w:val="right" w:leader="dot" w:pos="8296"/>
        </w:tabs>
        <w:spacing w:line="600" w:lineRule="exact"/>
        <w:ind w:firstLine="0" w:firstLineChars="0"/>
        <w:rPr>
          <w:smallCaps w:val="0"/>
          <w:sz w:val="24"/>
          <w:szCs w:val="24"/>
        </w:rPr>
      </w:pPr>
      <w:r>
        <w:fldChar w:fldCharType="begin"/>
      </w:r>
      <w:r>
        <w:instrText xml:space="preserve"> HYPERLINK \l "_Toc58853112" </w:instrText>
      </w:r>
      <w:r>
        <w:fldChar w:fldCharType="separate"/>
      </w:r>
      <w:r>
        <w:rPr>
          <w:rStyle w:val="35"/>
          <w:rFonts w:hint="eastAsia" w:ascii="楷体" w:hAnsi="楷体" w:eastAsia="楷体"/>
          <w:sz w:val="24"/>
          <w:szCs w:val="24"/>
        </w:rPr>
        <w:t>第三节</w:t>
      </w:r>
      <w:r>
        <w:rPr>
          <w:rStyle w:val="35"/>
          <w:rFonts w:ascii="楷体" w:hAnsi="楷体" w:eastAsia="楷体"/>
          <w:sz w:val="24"/>
          <w:szCs w:val="24"/>
        </w:rPr>
        <w:t xml:space="preserve"> </w:t>
      </w:r>
      <w:r>
        <w:rPr>
          <w:rStyle w:val="35"/>
          <w:rFonts w:hint="eastAsia" w:ascii="楷体" w:hAnsi="楷体" w:eastAsia="楷体"/>
          <w:sz w:val="24"/>
          <w:szCs w:val="24"/>
        </w:rPr>
        <w:t>实施乡村建设行动</w:t>
      </w:r>
      <w:r>
        <w:rPr>
          <w:sz w:val="24"/>
          <w:szCs w:val="24"/>
        </w:rPr>
        <w:tab/>
      </w:r>
      <w:r>
        <w:rPr>
          <w:rFonts w:hint="eastAsia"/>
          <w:sz w:val="24"/>
          <w:szCs w:val="24"/>
        </w:rPr>
        <w:t>5</w:t>
      </w:r>
      <w:r>
        <w:rPr>
          <w:rFonts w:hint="eastAsia"/>
          <w:sz w:val="24"/>
          <w:szCs w:val="24"/>
        </w:rPr>
        <w:fldChar w:fldCharType="end"/>
      </w:r>
      <w:r>
        <w:rPr>
          <w:rFonts w:hint="eastAsia"/>
          <w:sz w:val="24"/>
          <w:szCs w:val="24"/>
        </w:rPr>
        <w:t>1</w:t>
      </w:r>
    </w:p>
    <w:p>
      <w:pPr>
        <w:pStyle w:val="21"/>
        <w:tabs>
          <w:tab w:val="right" w:leader="dot" w:pos="8296"/>
        </w:tabs>
        <w:spacing w:before="0" w:after="0" w:line="600" w:lineRule="exact"/>
        <w:ind w:firstLine="0" w:firstLineChars="0"/>
        <w:rPr>
          <w:b w:val="0"/>
          <w:bCs w:val="0"/>
        </w:rPr>
      </w:pPr>
    </w:p>
    <w:p>
      <w:pPr>
        <w:pStyle w:val="21"/>
        <w:tabs>
          <w:tab w:val="right" w:leader="dot" w:pos="8296"/>
        </w:tabs>
        <w:spacing w:before="0" w:after="0" w:line="600" w:lineRule="exact"/>
        <w:ind w:firstLine="0" w:firstLineChars="0"/>
        <w:rPr>
          <w:rStyle w:val="35"/>
          <w:rFonts w:ascii="黑体" w:hAnsi="黑体" w:eastAsia="黑体"/>
          <w:b w:val="0"/>
          <w:bCs w:val="0"/>
        </w:rPr>
      </w:pPr>
      <w:r>
        <w:fldChar w:fldCharType="begin"/>
      </w:r>
      <w:r>
        <w:instrText xml:space="preserve"> HYPERLINK \l "_Toc58853113" </w:instrText>
      </w:r>
      <w:r>
        <w:fldChar w:fldCharType="separate"/>
      </w:r>
      <w:r>
        <w:rPr>
          <w:rStyle w:val="35"/>
          <w:rFonts w:hint="eastAsia" w:ascii="黑体" w:hAnsi="黑体" w:eastAsia="黑体"/>
          <w:b w:val="0"/>
          <w:bCs w:val="0"/>
          <w:sz w:val="24"/>
          <w:szCs w:val="24"/>
        </w:rPr>
        <w:t>第十章</w:t>
      </w:r>
      <w:r>
        <w:rPr>
          <w:rStyle w:val="35"/>
          <w:rFonts w:ascii="黑体" w:hAnsi="黑体" w:eastAsia="黑体"/>
          <w:b w:val="0"/>
          <w:bCs w:val="0"/>
          <w:sz w:val="24"/>
          <w:szCs w:val="24"/>
        </w:rPr>
        <w:t xml:space="preserve"> </w:t>
      </w:r>
      <w:r>
        <w:rPr>
          <w:rStyle w:val="35"/>
          <w:rFonts w:hint="eastAsia" w:ascii="黑体" w:hAnsi="黑体" w:eastAsia="黑体"/>
          <w:b w:val="0"/>
          <w:bCs w:val="0"/>
          <w:sz w:val="24"/>
          <w:szCs w:val="24"/>
        </w:rPr>
        <w:t>坚持全面绿色发展，建设生态园林城市</w:t>
      </w:r>
      <w:r>
        <w:rPr>
          <w:rStyle w:val="35"/>
          <w:rFonts w:ascii="黑体" w:hAnsi="黑体" w:eastAsia="黑体"/>
          <w:b w:val="0"/>
          <w:bCs w:val="0"/>
        </w:rPr>
        <w:tab/>
      </w:r>
      <w:r>
        <w:rPr>
          <w:rStyle w:val="35"/>
          <w:rFonts w:ascii="Calibri" w:hAnsi="Calibri" w:eastAsia="黑体" w:cs="Calibri"/>
          <w:b w:val="0"/>
          <w:bCs w:val="0"/>
          <w:sz w:val="24"/>
          <w:szCs w:val="24"/>
        </w:rPr>
        <w:t>5</w:t>
      </w:r>
      <w:r>
        <w:rPr>
          <w:rStyle w:val="35"/>
          <w:rFonts w:ascii="Calibri" w:hAnsi="Calibri" w:eastAsia="黑体" w:cs="Calibri"/>
          <w:b w:val="0"/>
          <w:bCs w:val="0"/>
          <w:sz w:val="24"/>
          <w:szCs w:val="24"/>
        </w:rPr>
        <w:fldChar w:fldCharType="end"/>
      </w:r>
      <w:r>
        <w:rPr>
          <w:rStyle w:val="35"/>
          <w:rFonts w:ascii="Calibri" w:hAnsi="Calibri" w:eastAsia="黑体" w:cs="Calibri"/>
          <w:b w:val="0"/>
          <w:bCs w:val="0"/>
          <w:sz w:val="24"/>
          <w:szCs w:val="24"/>
        </w:rPr>
        <w:t>3</w:t>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"_Toc58853114" </w:instrText>
      </w:r>
      <w:r>
        <w:fldChar w:fldCharType="separate"/>
      </w:r>
      <w:r>
        <w:rPr>
          <w:rStyle w:val="35"/>
          <w:rFonts w:hint="eastAsia" w:ascii="楷体" w:hAnsi="楷体" w:eastAsia="楷体"/>
          <w:sz w:val="24"/>
          <w:szCs w:val="24"/>
        </w:rPr>
        <w:t>第一节</w:t>
      </w:r>
      <w:r>
        <w:rPr>
          <w:rStyle w:val="35"/>
          <w:rFonts w:ascii="楷体" w:hAnsi="楷体" w:eastAsia="楷体"/>
          <w:sz w:val="24"/>
          <w:szCs w:val="24"/>
        </w:rPr>
        <w:t xml:space="preserve"> </w:t>
      </w:r>
      <w:r>
        <w:rPr>
          <w:rStyle w:val="35"/>
          <w:rFonts w:hint="eastAsia" w:ascii="楷体" w:hAnsi="楷体" w:eastAsia="楷体"/>
          <w:sz w:val="24"/>
          <w:szCs w:val="24"/>
        </w:rPr>
        <w:t>加强矿区生态修复</w:t>
      </w:r>
      <w:r>
        <w:rPr>
          <w:sz w:val="24"/>
          <w:szCs w:val="24"/>
        </w:rPr>
        <w:tab/>
      </w:r>
      <w:r>
        <w:rPr>
          <w:sz w:val="24"/>
          <w:szCs w:val="24"/>
        </w:rPr>
        <w:fldChar w:fldCharType="begin"/>
      </w:r>
      <w:r>
        <w:rPr>
          <w:sz w:val="24"/>
          <w:szCs w:val="24"/>
        </w:rPr>
        <w:instrText xml:space="preserve"> PAGEREF _Toc58853114 \h </w:instrText>
      </w:r>
      <w:r>
        <w:rPr>
          <w:sz w:val="24"/>
          <w:szCs w:val="24"/>
        </w:rPr>
        <w:fldChar w:fldCharType="separate"/>
      </w:r>
      <w:r>
        <w:rPr>
          <w:sz w:val="24"/>
          <w:szCs w:val="24"/>
        </w:rPr>
        <w:t>5</w:t>
      </w:r>
      <w:r>
        <w:rPr>
          <w:rFonts w:hint="eastAsia"/>
          <w:sz w:val="24"/>
          <w:szCs w:val="24"/>
        </w:rPr>
        <w:t>3</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"_Toc58853115" </w:instrText>
      </w:r>
      <w:r>
        <w:fldChar w:fldCharType="separate"/>
      </w:r>
      <w:r>
        <w:rPr>
          <w:rStyle w:val="35"/>
          <w:rFonts w:hint="eastAsia" w:ascii="楷体" w:hAnsi="楷体" w:eastAsia="楷体"/>
          <w:sz w:val="24"/>
          <w:szCs w:val="24"/>
        </w:rPr>
        <w:t>第二节</w:t>
      </w:r>
      <w:r>
        <w:rPr>
          <w:rStyle w:val="35"/>
          <w:rFonts w:ascii="楷体" w:hAnsi="楷体" w:eastAsia="楷体"/>
          <w:sz w:val="24"/>
          <w:szCs w:val="24"/>
        </w:rPr>
        <w:t xml:space="preserve"> </w:t>
      </w:r>
      <w:r>
        <w:rPr>
          <w:rStyle w:val="35"/>
          <w:rFonts w:hint="eastAsia" w:ascii="楷体" w:hAnsi="楷体" w:eastAsia="楷体"/>
          <w:sz w:val="24"/>
          <w:szCs w:val="24"/>
        </w:rPr>
        <w:t>实施环境保护工程</w:t>
      </w:r>
      <w:r>
        <w:rPr>
          <w:sz w:val="24"/>
          <w:szCs w:val="24"/>
        </w:rPr>
        <w:tab/>
      </w:r>
      <w:r>
        <w:rPr>
          <w:sz w:val="24"/>
          <w:szCs w:val="24"/>
        </w:rPr>
        <w:fldChar w:fldCharType="begin"/>
      </w:r>
      <w:r>
        <w:rPr>
          <w:sz w:val="24"/>
          <w:szCs w:val="24"/>
        </w:rPr>
        <w:instrText xml:space="preserve"> PAGEREF _Toc58853115 \h </w:instrText>
      </w:r>
      <w:r>
        <w:rPr>
          <w:sz w:val="24"/>
          <w:szCs w:val="24"/>
        </w:rPr>
        <w:fldChar w:fldCharType="separate"/>
      </w:r>
      <w:r>
        <w:rPr>
          <w:sz w:val="24"/>
          <w:szCs w:val="24"/>
        </w:rPr>
        <w:t>5</w:t>
      </w:r>
      <w:r>
        <w:rPr>
          <w:rFonts w:hint="eastAsia"/>
          <w:sz w:val="24"/>
          <w:szCs w:val="24"/>
        </w:rPr>
        <w:t>4</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"_Toc58853116" </w:instrText>
      </w:r>
      <w:r>
        <w:fldChar w:fldCharType="separate"/>
      </w:r>
      <w:r>
        <w:rPr>
          <w:rStyle w:val="35"/>
          <w:rFonts w:hint="eastAsia" w:ascii="楷体" w:hAnsi="楷体" w:eastAsia="楷体"/>
          <w:sz w:val="24"/>
          <w:szCs w:val="24"/>
        </w:rPr>
        <w:t>第三节</w:t>
      </w:r>
      <w:r>
        <w:rPr>
          <w:rStyle w:val="35"/>
          <w:rFonts w:ascii="楷体" w:hAnsi="楷体" w:eastAsia="楷体"/>
          <w:sz w:val="24"/>
          <w:szCs w:val="24"/>
        </w:rPr>
        <w:t xml:space="preserve"> </w:t>
      </w:r>
      <w:r>
        <w:rPr>
          <w:rStyle w:val="35"/>
          <w:rFonts w:hint="eastAsia" w:ascii="楷体" w:hAnsi="楷体" w:eastAsia="楷体"/>
          <w:sz w:val="24"/>
          <w:szCs w:val="24"/>
        </w:rPr>
        <w:t>建设生态园林城市</w:t>
      </w:r>
      <w:r>
        <w:rPr>
          <w:sz w:val="24"/>
          <w:szCs w:val="24"/>
        </w:rPr>
        <w:tab/>
      </w:r>
      <w:r>
        <w:rPr>
          <w:sz w:val="24"/>
          <w:szCs w:val="24"/>
        </w:rPr>
        <w:fldChar w:fldCharType="begin"/>
      </w:r>
      <w:r>
        <w:rPr>
          <w:sz w:val="24"/>
          <w:szCs w:val="24"/>
        </w:rPr>
        <w:instrText xml:space="preserve"> PAGEREF _Toc58853116 \h </w:instrText>
      </w:r>
      <w:r>
        <w:rPr>
          <w:sz w:val="24"/>
          <w:szCs w:val="24"/>
        </w:rPr>
        <w:fldChar w:fldCharType="separate"/>
      </w:r>
      <w:r>
        <w:rPr>
          <w:sz w:val="24"/>
          <w:szCs w:val="24"/>
        </w:rPr>
        <w:t>5</w:t>
      </w:r>
      <w:r>
        <w:rPr>
          <w:rFonts w:hint="eastAsia"/>
          <w:sz w:val="24"/>
          <w:szCs w:val="24"/>
        </w:rPr>
        <w:t>5</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"_Toc58853117" </w:instrText>
      </w:r>
      <w:r>
        <w:fldChar w:fldCharType="separate"/>
      </w:r>
      <w:r>
        <w:rPr>
          <w:rStyle w:val="35"/>
          <w:rFonts w:hint="eastAsia" w:ascii="楷体" w:hAnsi="楷体" w:eastAsia="楷体"/>
          <w:sz w:val="24"/>
          <w:szCs w:val="24"/>
        </w:rPr>
        <w:t>第四节</w:t>
      </w:r>
      <w:r>
        <w:rPr>
          <w:rStyle w:val="35"/>
          <w:rFonts w:ascii="楷体" w:hAnsi="楷体" w:eastAsia="楷体"/>
          <w:sz w:val="24"/>
          <w:szCs w:val="24"/>
        </w:rPr>
        <w:t xml:space="preserve"> </w:t>
      </w:r>
      <w:r>
        <w:rPr>
          <w:rStyle w:val="35"/>
          <w:rFonts w:hint="eastAsia" w:ascii="楷体" w:hAnsi="楷体" w:eastAsia="楷体"/>
          <w:sz w:val="24"/>
          <w:szCs w:val="24"/>
        </w:rPr>
        <w:t>完善现代环境治理体系</w:t>
      </w:r>
      <w:r>
        <w:rPr>
          <w:sz w:val="24"/>
          <w:szCs w:val="24"/>
        </w:rPr>
        <w:tab/>
      </w:r>
      <w:r>
        <w:rPr>
          <w:sz w:val="24"/>
          <w:szCs w:val="24"/>
        </w:rPr>
        <w:fldChar w:fldCharType="begin"/>
      </w:r>
      <w:r>
        <w:rPr>
          <w:sz w:val="24"/>
          <w:szCs w:val="24"/>
        </w:rPr>
        <w:instrText xml:space="preserve"> PAGEREF _Toc58853117 \h </w:instrText>
      </w:r>
      <w:r>
        <w:rPr>
          <w:sz w:val="24"/>
          <w:szCs w:val="24"/>
        </w:rPr>
        <w:fldChar w:fldCharType="separate"/>
      </w:r>
      <w:r>
        <w:rPr>
          <w:sz w:val="24"/>
          <w:szCs w:val="24"/>
        </w:rPr>
        <w:t>5</w:t>
      </w:r>
      <w:r>
        <w:rPr>
          <w:rFonts w:hint="eastAsia"/>
          <w:sz w:val="24"/>
          <w:szCs w:val="24"/>
        </w:rPr>
        <w:t>7</w:t>
      </w:r>
      <w:r>
        <w:rPr>
          <w:sz w:val="24"/>
          <w:szCs w:val="24"/>
        </w:rPr>
        <w:fldChar w:fldCharType="end"/>
      </w:r>
      <w:r>
        <w:rPr>
          <w:sz w:val="24"/>
          <w:szCs w:val="24"/>
        </w:rPr>
        <w:fldChar w:fldCharType="end"/>
      </w:r>
    </w:p>
    <w:p>
      <w:pPr>
        <w:pStyle w:val="21"/>
        <w:tabs>
          <w:tab w:val="right" w:leader="dot" w:pos="8296"/>
        </w:tabs>
        <w:spacing w:before="0" w:after="0" w:line="600" w:lineRule="exact"/>
        <w:ind w:firstLine="0" w:firstLineChars="0"/>
        <w:rPr>
          <w:rStyle w:val="35"/>
          <w:rFonts w:ascii="黑体" w:hAnsi="黑体" w:eastAsia="黑体"/>
          <w:b w:val="0"/>
          <w:bCs w:val="0"/>
        </w:rPr>
      </w:pPr>
      <w:r>
        <w:fldChar w:fldCharType="begin"/>
      </w:r>
      <w:r>
        <w:instrText xml:space="preserve"> HYPERLINK \l "_Toc58853118" </w:instrText>
      </w:r>
      <w:r>
        <w:fldChar w:fldCharType="separate"/>
      </w:r>
      <w:r>
        <w:rPr>
          <w:rStyle w:val="35"/>
          <w:rFonts w:hint="eastAsia" w:ascii="黑体" w:hAnsi="黑体" w:eastAsia="黑体"/>
          <w:b w:val="0"/>
          <w:bCs w:val="0"/>
          <w:sz w:val="24"/>
          <w:szCs w:val="24"/>
        </w:rPr>
        <w:t>第十一章</w:t>
      </w:r>
      <w:r>
        <w:rPr>
          <w:rStyle w:val="35"/>
          <w:rFonts w:ascii="黑体" w:hAnsi="黑体" w:eastAsia="黑体"/>
          <w:b w:val="0"/>
          <w:bCs w:val="0"/>
          <w:sz w:val="24"/>
          <w:szCs w:val="24"/>
        </w:rPr>
        <w:t xml:space="preserve"> </w:t>
      </w:r>
      <w:r>
        <w:rPr>
          <w:rStyle w:val="35"/>
          <w:rFonts w:hint="eastAsia" w:ascii="黑体" w:hAnsi="黑体" w:eastAsia="黑体"/>
          <w:b w:val="0"/>
          <w:bCs w:val="0"/>
          <w:sz w:val="24"/>
          <w:szCs w:val="24"/>
        </w:rPr>
        <w:t>融入“双循环”，打造对外开放新格局</w:t>
      </w:r>
      <w:r>
        <w:rPr>
          <w:rStyle w:val="35"/>
          <w:rFonts w:ascii="黑体" w:hAnsi="黑体" w:eastAsia="黑体"/>
          <w:b w:val="0"/>
          <w:bCs w:val="0"/>
        </w:rPr>
        <w:tab/>
      </w:r>
      <w:r>
        <w:rPr>
          <w:rStyle w:val="35"/>
          <w:rFonts w:ascii="Calibri" w:hAnsi="Calibri" w:eastAsia="黑体" w:cs="Calibri"/>
          <w:b w:val="0"/>
          <w:bCs w:val="0"/>
          <w:sz w:val="24"/>
          <w:szCs w:val="24"/>
        </w:rPr>
        <w:t>5</w:t>
      </w:r>
      <w:r>
        <w:rPr>
          <w:rStyle w:val="35"/>
          <w:rFonts w:ascii="Calibri" w:hAnsi="Calibri" w:eastAsia="黑体" w:cs="Calibri"/>
          <w:b w:val="0"/>
          <w:bCs w:val="0"/>
          <w:sz w:val="24"/>
          <w:szCs w:val="24"/>
        </w:rPr>
        <w:fldChar w:fldCharType="end"/>
      </w:r>
      <w:r>
        <w:rPr>
          <w:rStyle w:val="35"/>
          <w:rFonts w:ascii="Calibri" w:hAnsi="Calibri" w:eastAsia="黑体" w:cs="Calibri"/>
          <w:b w:val="0"/>
          <w:bCs w:val="0"/>
          <w:sz w:val="24"/>
          <w:szCs w:val="24"/>
        </w:rPr>
        <w:t>9</w:t>
      </w:r>
    </w:p>
    <w:p>
      <w:pPr>
        <w:pStyle w:val="24"/>
        <w:tabs>
          <w:tab w:val="right" w:leader="dot" w:pos="8296"/>
        </w:tabs>
        <w:spacing w:line="600" w:lineRule="exact"/>
        <w:ind w:firstLine="0" w:firstLineChars="0"/>
        <w:rPr>
          <w:smallCaps w:val="0"/>
          <w:sz w:val="24"/>
          <w:szCs w:val="24"/>
        </w:rPr>
      </w:pPr>
      <w:r>
        <w:fldChar w:fldCharType="begin"/>
      </w:r>
      <w:r>
        <w:instrText xml:space="preserve"> HYPERLINK \l "_Toc58853119" </w:instrText>
      </w:r>
      <w:r>
        <w:fldChar w:fldCharType="separate"/>
      </w:r>
      <w:r>
        <w:rPr>
          <w:rStyle w:val="35"/>
          <w:rFonts w:hint="eastAsia" w:ascii="楷体" w:hAnsi="楷体" w:eastAsia="楷体"/>
          <w:sz w:val="24"/>
          <w:szCs w:val="24"/>
        </w:rPr>
        <w:t>第一节</w:t>
      </w:r>
      <w:r>
        <w:rPr>
          <w:rStyle w:val="35"/>
          <w:rFonts w:ascii="楷体" w:hAnsi="楷体" w:eastAsia="楷体"/>
          <w:sz w:val="24"/>
          <w:szCs w:val="24"/>
        </w:rPr>
        <w:t xml:space="preserve"> </w:t>
      </w:r>
      <w:r>
        <w:rPr>
          <w:rStyle w:val="35"/>
          <w:rFonts w:hint="eastAsia" w:ascii="楷体" w:hAnsi="楷体" w:eastAsia="楷体"/>
          <w:sz w:val="24"/>
          <w:szCs w:val="24"/>
        </w:rPr>
        <w:t>深度融入辽宁“一带一路”</w:t>
      </w:r>
      <w:r>
        <w:rPr>
          <w:sz w:val="24"/>
          <w:szCs w:val="24"/>
        </w:rPr>
        <w:tab/>
      </w:r>
      <w:r>
        <w:rPr>
          <w:rFonts w:hint="eastAsia"/>
          <w:sz w:val="24"/>
          <w:szCs w:val="24"/>
        </w:rPr>
        <w:t>5</w:t>
      </w:r>
      <w:r>
        <w:rPr>
          <w:rFonts w:hint="eastAsia"/>
          <w:sz w:val="24"/>
          <w:szCs w:val="24"/>
        </w:rPr>
        <w:fldChar w:fldCharType="end"/>
      </w:r>
      <w:r>
        <w:rPr>
          <w:rFonts w:hint="eastAsia"/>
          <w:sz w:val="24"/>
          <w:szCs w:val="24"/>
        </w:rPr>
        <w:t>9</w:t>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"_Toc58853120" </w:instrText>
      </w:r>
      <w:r>
        <w:fldChar w:fldCharType="separate"/>
      </w:r>
      <w:r>
        <w:rPr>
          <w:rStyle w:val="35"/>
          <w:rFonts w:hint="eastAsia" w:ascii="楷体" w:hAnsi="楷体" w:eastAsia="楷体"/>
          <w:sz w:val="24"/>
          <w:szCs w:val="24"/>
        </w:rPr>
        <w:t>第二节</w:t>
      </w:r>
      <w:r>
        <w:rPr>
          <w:rStyle w:val="35"/>
          <w:rFonts w:ascii="楷体" w:hAnsi="楷体" w:eastAsia="楷体"/>
          <w:sz w:val="24"/>
          <w:szCs w:val="24"/>
        </w:rPr>
        <w:t xml:space="preserve"> </w:t>
      </w:r>
      <w:r>
        <w:rPr>
          <w:rStyle w:val="35"/>
          <w:rFonts w:hint="eastAsia" w:ascii="楷体" w:hAnsi="楷体" w:eastAsia="楷体"/>
          <w:sz w:val="24"/>
          <w:szCs w:val="24"/>
        </w:rPr>
        <w:t>主动融入沈阳都市圈</w:t>
      </w:r>
      <w:r>
        <w:rPr>
          <w:sz w:val="24"/>
          <w:szCs w:val="24"/>
        </w:rPr>
        <w:tab/>
      </w:r>
      <w:r>
        <w:rPr>
          <w:sz w:val="24"/>
          <w:szCs w:val="24"/>
        </w:rPr>
        <w:fldChar w:fldCharType="begin"/>
      </w:r>
      <w:r>
        <w:rPr>
          <w:sz w:val="24"/>
          <w:szCs w:val="24"/>
        </w:rPr>
        <w:instrText xml:space="preserve"> PAGEREF _Toc58853120 \h </w:instrText>
      </w:r>
      <w:r>
        <w:rPr>
          <w:sz w:val="24"/>
          <w:szCs w:val="24"/>
        </w:rPr>
        <w:fldChar w:fldCharType="separate"/>
      </w:r>
      <w:r>
        <w:rPr>
          <w:sz w:val="24"/>
          <w:szCs w:val="24"/>
        </w:rPr>
        <w:t>6</w:t>
      </w:r>
      <w:r>
        <w:rPr>
          <w:rFonts w:hint="eastAsia"/>
          <w:sz w:val="24"/>
          <w:szCs w:val="24"/>
        </w:rPr>
        <w:t>0</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"_Toc58853121" </w:instrText>
      </w:r>
      <w:r>
        <w:fldChar w:fldCharType="separate"/>
      </w:r>
      <w:r>
        <w:rPr>
          <w:rStyle w:val="35"/>
          <w:rFonts w:hint="eastAsia" w:ascii="楷体" w:hAnsi="楷体" w:eastAsia="楷体"/>
          <w:sz w:val="24"/>
          <w:szCs w:val="24"/>
        </w:rPr>
        <w:t>第三节</w:t>
      </w:r>
      <w:r>
        <w:rPr>
          <w:rStyle w:val="35"/>
          <w:rFonts w:ascii="楷体" w:hAnsi="楷体" w:eastAsia="楷体"/>
          <w:sz w:val="24"/>
          <w:szCs w:val="24"/>
        </w:rPr>
        <w:t xml:space="preserve"> </w:t>
      </w:r>
      <w:r>
        <w:rPr>
          <w:rStyle w:val="35"/>
          <w:rFonts w:hint="eastAsia" w:ascii="楷体" w:hAnsi="楷体" w:eastAsia="楷体"/>
          <w:sz w:val="24"/>
          <w:szCs w:val="24"/>
        </w:rPr>
        <w:t>加强区域对接合作</w:t>
      </w:r>
      <w:r>
        <w:rPr>
          <w:sz w:val="24"/>
          <w:szCs w:val="24"/>
        </w:rPr>
        <w:tab/>
      </w:r>
      <w:r>
        <w:rPr>
          <w:sz w:val="24"/>
          <w:szCs w:val="24"/>
        </w:rPr>
        <w:fldChar w:fldCharType="begin"/>
      </w:r>
      <w:r>
        <w:rPr>
          <w:sz w:val="24"/>
          <w:szCs w:val="24"/>
        </w:rPr>
        <w:instrText xml:space="preserve"> PAGEREF _Toc58853121 \h </w:instrText>
      </w:r>
      <w:r>
        <w:rPr>
          <w:sz w:val="24"/>
          <w:szCs w:val="24"/>
        </w:rPr>
        <w:fldChar w:fldCharType="separate"/>
      </w:r>
      <w:r>
        <w:rPr>
          <w:sz w:val="24"/>
          <w:szCs w:val="24"/>
        </w:rPr>
        <w:t>6</w:t>
      </w:r>
      <w:r>
        <w:rPr>
          <w:rFonts w:hint="eastAsia"/>
          <w:sz w:val="24"/>
          <w:szCs w:val="24"/>
        </w:rPr>
        <w:t>1</w:t>
      </w:r>
      <w:r>
        <w:rPr>
          <w:sz w:val="24"/>
          <w:szCs w:val="24"/>
        </w:rPr>
        <w:fldChar w:fldCharType="end"/>
      </w:r>
      <w:r>
        <w:rPr>
          <w:sz w:val="24"/>
          <w:szCs w:val="24"/>
        </w:rPr>
        <w:fldChar w:fldCharType="end"/>
      </w:r>
    </w:p>
    <w:p>
      <w:pPr>
        <w:pStyle w:val="21"/>
        <w:tabs>
          <w:tab w:val="right" w:leader="dot" w:pos="8296"/>
        </w:tabs>
        <w:spacing w:before="0" w:after="0" w:line="600" w:lineRule="exact"/>
        <w:ind w:firstLine="0" w:firstLineChars="0"/>
        <w:rPr>
          <w:rStyle w:val="35"/>
          <w:rFonts w:ascii="黑体" w:hAnsi="黑体" w:eastAsia="黑体"/>
          <w:b w:val="0"/>
          <w:bCs w:val="0"/>
        </w:rPr>
      </w:pPr>
      <w:r>
        <w:fldChar w:fldCharType="begin"/>
      </w:r>
      <w:r>
        <w:instrText xml:space="preserve"> HYPERLINK \l "_Toc58853122" </w:instrText>
      </w:r>
      <w:r>
        <w:fldChar w:fldCharType="separate"/>
      </w:r>
      <w:r>
        <w:rPr>
          <w:rStyle w:val="35"/>
          <w:rFonts w:hint="eastAsia" w:ascii="黑体" w:hAnsi="黑体" w:eastAsia="黑体"/>
          <w:b w:val="0"/>
          <w:bCs w:val="0"/>
          <w:sz w:val="24"/>
          <w:szCs w:val="24"/>
        </w:rPr>
        <w:t>第十二章</w:t>
      </w:r>
      <w:r>
        <w:rPr>
          <w:rStyle w:val="35"/>
          <w:rFonts w:ascii="黑体" w:hAnsi="黑体" w:eastAsia="黑体"/>
          <w:b w:val="0"/>
          <w:bCs w:val="0"/>
          <w:sz w:val="24"/>
          <w:szCs w:val="24"/>
        </w:rPr>
        <w:t xml:space="preserve"> </w:t>
      </w:r>
      <w:r>
        <w:rPr>
          <w:rStyle w:val="35"/>
          <w:rFonts w:hint="eastAsia" w:ascii="黑体" w:hAnsi="黑体" w:eastAsia="黑体"/>
          <w:b w:val="0"/>
          <w:bCs w:val="0"/>
          <w:sz w:val="24"/>
          <w:szCs w:val="24"/>
        </w:rPr>
        <w:t>夯实发展基础，推进城市更新</w:t>
      </w:r>
      <w:r>
        <w:rPr>
          <w:rStyle w:val="35"/>
          <w:rFonts w:ascii="黑体" w:hAnsi="黑体" w:eastAsia="黑体"/>
          <w:b w:val="0"/>
          <w:bCs w:val="0"/>
        </w:rPr>
        <w:tab/>
      </w:r>
      <w:r>
        <w:rPr>
          <w:rStyle w:val="35"/>
          <w:rFonts w:ascii="Calibri" w:hAnsi="Calibri" w:eastAsia="黑体" w:cs="Calibri"/>
          <w:b w:val="0"/>
          <w:bCs w:val="0"/>
          <w:sz w:val="24"/>
          <w:szCs w:val="24"/>
        </w:rPr>
        <w:fldChar w:fldCharType="begin"/>
      </w:r>
      <w:r>
        <w:rPr>
          <w:rStyle w:val="35"/>
          <w:rFonts w:ascii="Calibri" w:hAnsi="Calibri" w:eastAsia="黑体" w:cs="Calibri"/>
          <w:b w:val="0"/>
          <w:bCs w:val="0"/>
          <w:sz w:val="24"/>
          <w:szCs w:val="24"/>
        </w:rPr>
        <w:instrText xml:space="preserve"> PAGEREF _Toc58853122 \h </w:instrText>
      </w:r>
      <w:r>
        <w:rPr>
          <w:rStyle w:val="35"/>
          <w:rFonts w:ascii="Calibri" w:hAnsi="Calibri" w:eastAsia="黑体" w:cs="Calibri"/>
          <w:b w:val="0"/>
          <w:bCs w:val="0"/>
          <w:sz w:val="24"/>
          <w:szCs w:val="24"/>
        </w:rPr>
        <w:fldChar w:fldCharType="separate"/>
      </w:r>
      <w:r>
        <w:rPr>
          <w:rStyle w:val="35"/>
          <w:rFonts w:ascii="Calibri" w:hAnsi="Calibri" w:eastAsia="黑体" w:cs="Calibri"/>
          <w:b w:val="0"/>
          <w:bCs w:val="0"/>
          <w:sz w:val="24"/>
          <w:szCs w:val="24"/>
        </w:rPr>
        <w:t>6</w:t>
      </w:r>
      <w:r>
        <w:rPr>
          <w:rStyle w:val="35"/>
          <w:rFonts w:hint="eastAsia" w:ascii="Calibri" w:hAnsi="Calibri" w:eastAsia="黑体" w:cs="Calibri"/>
          <w:b w:val="0"/>
          <w:bCs w:val="0"/>
          <w:sz w:val="24"/>
          <w:szCs w:val="24"/>
        </w:rPr>
        <w:t>2</w:t>
      </w:r>
      <w:r>
        <w:rPr>
          <w:rStyle w:val="35"/>
          <w:rFonts w:ascii="Calibri" w:hAnsi="Calibri" w:eastAsia="黑体" w:cs="Calibri"/>
          <w:b w:val="0"/>
          <w:bCs w:val="0"/>
          <w:sz w:val="24"/>
          <w:szCs w:val="24"/>
        </w:rPr>
        <w:fldChar w:fldCharType="end"/>
      </w:r>
      <w:r>
        <w:rPr>
          <w:rStyle w:val="35"/>
          <w:rFonts w:ascii="Calibri" w:hAnsi="Calibri" w:eastAsia="黑体" w:cs="Calibri"/>
          <w:b w:val="0"/>
          <w:bCs w:val="0"/>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"_Toc58853123" </w:instrText>
      </w:r>
      <w:r>
        <w:fldChar w:fldCharType="separate"/>
      </w:r>
      <w:r>
        <w:rPr>
          <w:rStyle w:val="35"/>
          <w:rFonts w:hint="eastAsia" w:ascii="楷体" w:hAnsi="楷体" w:eastAsia="楷体"/>
          <w:sz w:val="24"/>
          <w:szCs w:val="24"/>
        </w:rPr>
        <w:t>第一节</w:t>
      </w:r>
      <w:r>
        <w:rPr>
          <w:rStyle w:val="35"/>
          <w:rFonts w:ascii="楷体" w:hAnsi="楷体" w:eastAsia="楷体"/>
          <w:sz w:val="24"/>
          <w:szCs w:val="24"/>
        </w:rPr>
        <w:t xml:space="preserve"> </w:t>
      </w:r>
      <w:r>
        <w:rPr>
          <w:rStyle w:val="35"/>
          <w:rFonts w:hint="eastAsia" w:ascii="楷体" w:hAnsi="楷体" w:eastAsia="楷体"/>
          <w:sz w:val="24"/>
          <w:szCs w:val="24"/>
        </w:rPr>
        <w:t>建设综合交通体系</w:t>
      </w:r>
      <w:r>
        <w:rPr>
          <w:sz w:val="24"/>
          <w:szCs w:val="24"/>
        </w:rPr>
        <w:tab/>
      </w:r>
      <w:r>
        <w:rPr>
          <w:sz w:val="24"/>
          <w:szCs w:val="24"/>
        </w:rPr>
        <w:fldChar w:fldCharType="begin"/>
      </w:r>
      <w:r>
        <w:rPr>
          <w:sz w:val="24"/>
          <w:szCs w:val="24"/>
        </w:rPr>
        <w:instrText xml:space="preserve"> PAGEREF _Toc58853123 \h </w:instrText>
      </w:r>
      <w:r>
        <w:rPr>
          <w:sz w:val="24"/>
          <w:szCs w:val="24"/>
        </w:rPr>
        <w:fldChar w:fldCharType="separate"/>
      </w:r>
      <w:r>
        <w:rPr>
          <w:sz w:val="24"/>
          <w:szCs w:val="24"/>
        </w:rPr>
        <w:t>6</w:t>
      </w:r>
      <w:r>
        <w:rPr>
          <w:rFonts w:hint="eastAsia"/>
          <w:sz w:val="24"/>
          <w:szCs w:val="24"/>
        </w:rPr>
        <w:t>2</w:t>
      </w:r>
      <w:r>
        <w:rPr>
          <w:sz w:val="24"/>
          <w:szCs w:val="24"/>
        </w:rPr>
        <w:fldChar w:fldCharType="end"/>
      </w:r>
      <w:r>
        <w:rPr>
          <w:sz w:val="24"/>
          <w:szCs w:val="24"/>
        </w:rPr>
        <w:fldChar w:fldCharType="end"/>
      </w:r>
    </w:p>
    <w:p>
      <w:pPr>
        <w:pStyle w:val="24"/>
        <w:tabs>
          <w:tab w:val="left" w:pos="1600"/>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"_Toc58853124" </w:instrText>
      </w:r>
      <w:r>
        <w:fldChar w:fldCharType="separate"/>
      </w:r>
      <w:r>
        <w:rPr>
          <w:rStyle w:val="35"/>
          <w:rFonts w:hint="eastAsia" w:ascii="楷体" w:hAnsi="楷体" w:eastAsia="楷体"/>
          <w:sz w:val="24"/>
          <w:szCs w:val="24"/>
        </w:rPr>
        <w:t>第二节</w:t>
      </w:r>
      <w:r>
        <w:rPr>
          <w:rFonts w:hint="eastAsia" w:eastAsiaTheme="minorEastAsia"/>
          <w:smallCaps w:val="0"/>
          <w:sz w:val="24"/>
          <w:szCs w:val="24"/>
        </w:rPr>
        <w:t xml:space="preserve"> </w:t>
      </w:r>
      <w:r>
        <w:rPr>
          <w:rStyle w:val="35"/>
          <w:rFonts w:hint="eastAsia" w:ascii="楷体" w:hAnsi="楷体" w:eastAsia="楷体"/>
          <w:sz w:val="24"/>
          <w:szCs w:val="24"/>
        </w:rPr>
        <w:t>补齐水利设施短板</w:t>
      </w:r>
      <w:r>
        <w:rPr>
          <w:sz w:val="24"/>
          <w:szCs w:val="24"/>
        </w:rPr>
        <w:tab/>
      </w:r>
      <w:r>
        <w:rPr>
          <w:sz w:val="24"/>
          <w:szCs w:val="24"/>
        </w:rPr>
        <w:fldChar w:fldCharType="begin"/>
      </w:r>
      <w:r>
        <w:rPr>
          <w:sz w:val="24"/>
          <w:szCs w:val="24"/>
        </w:rPr>
        <w:instrText xml:space="preserve"> PAGEREF _Toc58853124 \h </w:instrText>
      </w:r>
      <w:r>
        <w:rPr>
          <w:sz w:val="24"/>
          <w:szCs w:val="24"/>
        </w:rPr>
        <w:fldChar w:fldCharType="separate"/>
      </w:r>
      <w:r>
        <w:rPr>
          <w:sz w:val="24"/>
          <w:szCs w:val="24"/>
        </w:rPr>
        <w:t>6</w:t>
      </w:r>
      <w:r>
        <w:rPr>
          <w:rFonts w:hint="eastAsia"/>
          <w:sz w:val="24"/>
          <w:szCs w:val="24"/>
        </w:rPr>
        <w:t>3</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"_Toc58853125" </w:instrText>
      </w:r>
      <w:r>
        <w:fldChar w:fldCharType="separate"/>
      </w:r>
      <w:r>
        <w:rPr>
          <w:rStyle w:val="35"/>
          <w:rFonts w:hint="eastAsia" w:ascii="楷体" w:hAnsi="楷体" w:eastAsia="楷体"/>
          <w:sz w:val="24"/>
          <w:szCs w:val="24"/>
        </w:rPr>
        <w:t>第三节</w:t>
      </w:r>
      <w:r>
        <w:rPr>
          <w:rStyle w:val="35"/>
          <w:rFonts w:ascii="楷体" w:hAnsi="楷体" w:eastAsia="楷体"/>
          <w:sz w:val="24"/>
          <w:szCs w:val="24"/>
        </w:rPr>
        <w:t xml:space="preserve"> </w:t>
      </w:r>
      <w:r>
        <w:rPr>
          <w:rStyle w:val="35"/>
          <w:rFonts w:hint="eastAsia" w:ascii="楷体" w:hAnsi="楷体" w:eastAsia="楷体"/>
          <w:sz w:val="24"/>
          <w:szCs w:val="24"/>
        </w:rPr>
        <w:t>推进新型智慧城市建设</w:t>
      </w:r>
      <w:r>
        <w:rPr>
          <w:sz w:val="24"/>
          <w:szCs w:val="24"/>
        </w:rPr>
        <w:tab/>
      </w:r>
      <w:r>
        <w:rPr>
          <w:sz w:val="24"/>
          <w:szCs w:val="24"/>
        </w:rPr>
        <w:fldChar w:fldCharType="begin"/>
      </w:r>
      <w:r>
        <w:rPr>
          <w:sz w:val="24"/>
          <w:szCs w:val="24"/>
        </w:rPr>
        <w:instrText xml:space="preserve"> PAGEREF _Toc58853125 \h </w:instrText>
      </w:r>
      <w:r>
        <w:rPr>
          <w:sz w:val="24"/>
          <w:szCs w:val="24"/>
        </w:rPr>
        <w:fldChar w:fldCharType="separate"/>
      </w:r>
      <w:r>
        <w:rPr>
          <w:sz w:val="24"/>
          <w:szCs w:val="24"/>
        </w:rPr>
        <w:t>6</w:t>
      </w:r>
      <w:r>
        <w:rPr>
          <w:rFonts w:hint="eastAsia"/>
          <w:sz w:val="24"/>
          <w:szCs w:val="24"/>
        </w:rPr>
        <w:t>3</w:t>
      </w:r>
      <w:r>
        <w:rPr>
          <w:sz w:val="24"/>
          <w:szCs w:val="24"/>
        </w:rPr>
        <w:fldChar w:fldCharType="end"/>
      </w:r>
      <w:r>
        <w:rPr>
          <w:sz w:val="24"/>
          <w:szCs w:val="24"/>
        </w:rPr>
        <w:fldChar w:fldCharType="end"/>
      </w:r>
    </w:p>
    <w:p>
      <w:pPr>
        <w:pStyle w:val="21"/>
        <w:tabs>
          <w:tab w:val="right" w:leader="dot" w:pos="8296"/>
        </w:tabs>
        <w:spacing w:before="0" w:after="0" w:line="600" w:lineRule="exact"/>
        <w:ind w:firstLine="0" w:firstLineChars="0"/>
        <w:rPr>
          <w:rStyle w:val="35"/>
          <w:rFonts w:ascii="黑体" w:hAnsi="黑体" w:eastAsia="黑体"/>
          <w:b w:val="0"/>
          <w:bCs w:val="0"/>
        </w:rPr>
      </w:pPr>
      <w:r>
        <w:fldChar w:fldCharType="begin"/>
      </w:r>
      <w:r>
        <w:instrText xml:space="preserve"> HYPERLINK \l "_Toc58853126" </w:instrText>
      </w:r>
      <w:r>
        <w:fldChar w:fldCharType="separate"/>
      </w:r>
      <w:r>
        <w:rPr>
          <w:rStyle w:val="35"/>
          <w:rFonts w:hint="eastAsia" w:ascii="黑体" w:hAnsi="黑体" w:eastAsia="黑体"/>
          <w:b w:val="0"/>
          <w:bCs w:val="0"/>
          <w:sz w:val="24"/>
          <w:szCs w:val="24"/>
        </w:rPr>
        <w:t>第十三章</w:t>
      </w:r>
      <w:r>
        <w:rPr>
          <w:rStyle w:val="35"/>
          <w:rFonts w:ascii="黑体" w:hAnsi="黑体" w:eastAsia="黑体"/>
          <w:b w:val="0"/>
          <w:bCs w:val="0"/>
          <w:sz w:val="24"/>
          <w:szCs w:val="24"/>
        </w:rPr>
        <w:t xml:space="preserve"> </w:t>
      </w:r>
      <w:r>
        <w:rPr>
          <w:rStyle w:val="35"/>
          <w:rFonts w:hint="eastAsia" w:ascii="黑体" w:hAnsi="黑体" w:eastAsia="黑体"/>
          <w:b w:val="0"/>
          <w:bCs w:val="0"/>
          <w:sz w:val="24"/>
          <w:szCs w:val="24"/>
        </w:rPr>
        <w:t>共享发展成果，改善人民生活品质</w:t>
      </w:r>
      <w:r>
        <w:rPr>
          <w:rStyle w:val="35"/>
          <w:rFonts w:ascii="黑体" w:hAnsi="黑体" w:eastAsia="黑体"/>
          <w:b w:val="0"/>
          <w:bCs w:val="0"/>
        </w:rPr>
        <w:tab/>
      </w:r>
      <w:r>
        <w:rPr>
          <w:rStyle w:val="35"/>
          <w:rFonts w:ascii="Calibri" w:hAnsi="Calibri" w:eastAsia="仿宋_GB2312" w:cs="Calibri"/>
          <w:b w:val="0"/>
          <w:bCs w:val="0"/>
          <w:sz w:val="24"/>
          <w:szCs w:val="24"/>
        </w:rPr>
        <w:fldChar w:fldCharType="begin"/>
      </w:r>
      <w:r>
        <w:rPr>
          <w:rStyle w:val="35"/>
          <w:rFonts w:ascii="Calibri" w:hAnsi="Calibri" w:eastAsia="仿宋_GB2312" w:cs="Calibri"/>
          <w:b w:val="0"/>
          <w:bCs w:val="0"/>
          <w:sz w:val="24"/>
          <w:szCs w:val="24"/>
        </w:rPr>
        <w:instrText xml:space="preserve"> PAGEREF _Toc58853126 \h </w:instrText>
      </w:r>
      <w:r>
        <w:rPr>
          <w:rStyle w:val="35"/>
          <w:rFonts w:ascii="Calibri" w:hAnsi="Calibri" w:eastAsia="仿宋_GB2312" w:cs="Calibri"/>
          <w:b w:val="0"/>
          <w:bCs w:val="0"/>
          <w:sz w:val="24"/>
          <w:szCs w:val="24"/>
        </w:rPr>
        <w:fldChar w:fldCharType="separate"/>
      </w:r>
      <w:r>
        <w:rPr>
          <w:rStyle w:val="35"/>
          <w:rFonts w:ascii="Calibri" w:hAnsi="Calibri" w:eastAsia="仿宋_GB2312" w:cs="Calibri"/>
          <w:b w:val="0"/>
          <w:bCs w:val="0"/>
          <w:sz w:val="24"/>
          <w:szCs w:val="24"/>
        </w:rPr>
        <w:t>6</w:t>
      </w:r>
      <w:r>
        <w:rPr>
          <w:rStyle w:val="35"/>
          <w:rFonts w:hint="eastAsia" w:ascii="Calibri" w:hAnsi="Calibri" w:eastAsia="仿宋_GB2312" w:cs="Calibri"/>
          <w:b w:val="0"/>
          <w:bCs w:val="0"/>
          <w:sz w:val="24"/>
          <w:szCs w:val="24"/>
        </w:rPr>
        <w:t>5</w:t>
      </w:r>
      <w:r>
        <w:rPr>
          <w:rStyle w:val="35"/>
          <w:rFonts w:ascii="Calibri" w:hAnsi="Calibri" w:eastAsia="仿宋_GB2312" w:cs="Calibri"/>
          <w:b w:val="0"/>
          <w:bCs w:val="0"/>
          <w:sz w:val="24"/>
          <w:szCs w:val="24"/>
        </w:rPr>
        <w:fldChar w:fldCharType="end"/>
      </w:r>
      <w:r>
        <w:rPr>
          <w:rStyle w:val="35"/>
          <w:rFonts w:ascii="Calibri" w:hAnsi="Calibri" w:eastAsia="仿宋_GB2312" w:cs="Calibri"/>
          <w:b w:val="0"/>
          <w:bCs w:val="0"/>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"_Toc58853127" </w:instrText>
      </w:r>
      <w:r>
        <w:fldChar w:fldCharType="separate"/>
      </w:r>
      <w:r>
        <w:rPr>
          <w:rStyle w:val="35"/>
          <w:rFonts w:hint="eastAsia" w:ascii="楷体" w:hAnsi="楷体" w:eastAsia="楷体"/>
          <w:sz w:val="24"/>
          <w:szCs w:val="24"/>
        </w:rPr>
        <w:t>第一节</w:t>
      </w:r>
      <w:r>
        <w:rPr>
          <w:rStyle w:val="35"/>
          <w:rFonts w:ascii="楷体" w:hAnsi="楷体" w:eastAsia="楷体"/>
          <w:sz w:val="24"/>
          <w:szCs w:val="24"/>
        </w:rPr>
        <w:t xml:space="preserve"> </w:t>
      </w:r>
      <w:r>
        <w:rPr>
          <w:rStyle w:val="35"/>
          <w:rFonts w:hint="eastAsia" w:ascii="楷体" w:hAnsi="楷体" w:eastAsia="楷体"/>
          <w:sz w:val="24"/>
          <w:szCs w:val="24"/>
        </w:rPr>
        <w:t>实施就业优先战略</w:t>
      </w:r>
      <w:r>
        <w:rPr>
          <w:sz w:val="24"/>
          <w:szCs w:val="24"/>
        </w:rPr>
        <w:tab/>
      </w:r>
      <w:r>
        <w:rPr>
          <w:sz w:val="24"/>
          <w:szCs w:val="24"/>
        </w:rPr>
        <w:fldChar w:fldCharType="begin"/>
      </w:r>
      <w:r>
        <w:rPr>
          <w:sz w:val="24"/>
          <w:szCs w:val="24"/>
        </w:rPr>
        <w:instrText xml:space="preserve"> PAGEREF _Toc58853127 \h </w:instrText>
      </w:r>
      <w:r>
        <w:rPr>
          <w:sz w:val="24"/>
          <w:szCs w:val="24"/>
        </w:rPr>
        <w:fldChar w:fldCharType="separate"/>
      </w:r>
      <w:r>
        <w:rPr>
          <w:sz w:val="24"/>
          <w:szCs w:val="24"/>
        </w:rPr>
        <w:t>6</w:t>
      </w:r>
      <w:r>
        <w:rPr>
          <w:rFonts w:hint="eastAsia"/>
          <w:sz w:val="24"/>
          <w:szCs w:val="24"/>
        </w:rPr>
        <w:t>5</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"_Toc58853128" </w:instrText>
      </w:r>
      <w:r>
        <w:fldChar w:fldCharType="separate"/>
      </w:r>
      <w:r>
        <w:rPr>
          <w:rStyle w:val="35"/>
          <w:rFonts w:hint="eastAsia" w:ascii="楷体" w:hAnsi="楷体" w:eastAsia="楷体"/>
          <w:sz w:val="24"/>
          <w:szCs w:val="24"/>
        </w:rPr>
        <w:t>第二节</w:t>
      </w:r>
      <w:r>
        <w:rPr>
          <w:rStyle w:val="35"/>
          <w:rFonts w:ascii="楷体" w:hAnsi="楷体" w:eastAsia="楷体"/>
          <w:sz w:val="24"/>
          <w:szCs w:val="24"/>
        </w:rPr>
        <w:t xml:space="preserve"> </w:t>
      </w:r>
      <w:r>
        <w:rPr>
          <w:rStyle w:val="35"/>
          <w:rFonts w:hint="eastAsia" w:ascii="楷体" w:hAnsi="楷体" w:eastAsia="楷体"/>
          <w:sz w:val="24"/>
          <w:szCs w:val="24"/>
        </w:rPr>
        <w:t>推进教育高质量发展</w:t>
      </w:r>
      <w:r>
        <w:rPr>
          <w:sz w:val="24"/>
          <w:szCs w:val="24"/>
        </w:rPr>
        <w:tab/>
      </w:r>
      <w:r>
        <w:rPr>
          <w:sz w:val="24"/>
          <w:szCs w:val="24"/>
        </w:rPr>
        <w:fldChar w:fldCharType="begin"/>
      </w:r>
      <w:r>
        <w:rPr>
          <w:sz w:val="24"/>
          <w:szCs w:val="24"/>
        </w:rPr>
        <w:instrText xml:space="preserve"> PAGEREF _Toc58853128 \h </w:instrText>
      </w:r>
      <w:r>
        <w:rPr>
          <w:sz w:val="24"/>
          <w:szCs w:val="24"/>
        </w:rPr>
        <w:fldChar w:fldCharType="separate"/>
      </w:r>
      <w:r>
        <w:rPr>
          <w:sz w:val="24"/>
          <w:szCs w:val="24"/>
        </w:rPr>
        <w:t>6</w:t>
      </w:r>
      <w:r>
        <w:rPr>
          <w:rFonts w:hint="eastAsia"/>
          <w:sz w:val="24"/>
          <w:szCs w:val="24"/>
        </w:rPr>
        <w:t>6</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"_Toc58853129" </w:instrText>
      </w:r>
      <w:r>
        <w:fldChar w:fldCharType="separate"/>
      </w:r>
      <w:r>
        <w:rPr>
          <w:rStyle w:val="35"/>
          <w:rFonts w:hint="eastAsia" w:ascii="楷体" w:hAnsi="楷体" w:eastAsia="楷体"/>
          <w:sz w:val="24"/>
          <w:szCs w:val="24"/>
        </w:rPr>
        <w:t>第三节</w:t>
      </w:r>
      <w:r>
        <w:rPr>
          <w:rStyle w:val="35"/>
          <w:rFonts w:ascii="楷体" w:hAnsi="楷体" w:eastAsia="楷体"/>
          <w:sz w:val="24"/>
          <w:szCs w:val="24"/>
        </w:rPr>
        <w:t xml:space="preserve"> </w:t>
      </w:r>
      <w:r>
        <w:rPr>
          <w:rStyle w:val="35"/>
          <w:rFonts w:hint="eastAsia" w:ascii="楷体" w:hAnsi="楷体" w:eastAsia="楷体"/>
          <w:sz w:val="24"/>
          <w:szCs w:val="24"/>
        </w:rPr>
        <w:t>全面提高卫生健康水平</w:t>
      </w:r>
      <w:r>
        <w:rPr>
          <w:sz w:val="24"/>
          <w:szCs w:val="24"/>
        </w:rPr>
        <w:tab/>
      </w:r>
      <w:r>
        <w:rPr>
          <w:sz w:val="24"/>
          <w:szCs w:val="24"/>
        </w:rPr>
        <w:fldChar w:fldCharType="begin"/>
      </w:r>
      <w:r>
        <w:rPr>
          <w:sz w:val="24"/>
          <w:szCs w:val="24"/>
        </w:rPr>
        <w:instrText xml:space="preserve"> PAGEREF _Toc58853129 \h </w:instrText>
      </w:r>
      <w:r>
        <w:rPr>
          <w:sz w:val="24"/>
          <w:szCs w:val="24"/>
        </w:rPr>
        <w:fldChar w:fldCharType="separate"/>
      </w:r>
      <w:r>
        <w:rPr>
          <w:sz w:val="24"/>
          <w:szCs w:val="24"/>
        </w:rPr>
        <w:t>6</w:t>
      </w:r>
      <w:r>
        <w:rPr>
          <w:rFonts w:hint="eastAsia"/>
          <w:sz w:val="24"/>
          <w:szCs w:val="24"/>
        </w:rPr>
        <w:t>8</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"_Toc58853130" </w:instrText>
      </w:r>
      <w:r>
        <w:fldChar w:fldCharType="separate"/>
      </w:r>
      <w:r>
        <w:rPr>
          <w:rStyle w:val="35"/>
          <w:rFonts w:hint="eastAsia" w:ascii="楷体" w:hAnsi="楷体" w:eastAsia="楷体"/>
          <w:sz w:val="24"/>
          <w:szCs w:val="24"/>
        </w:rPr>
        <w:t>第四节</w:t>
      </w:r>
      <w:r>
        <w:rPr>
          <w:rStyle w:val="35"/>
          <w:rFonts w:ascii="楷体" w:hAnsi="楷体" w:eastAsia="楷体"/>
          <w:sz w:val="24"/>
          <w:szCs w:val="24"/>
        </w:rPr>
        <w:t xml:space="preserve"> </w:t>
      </w:r>
      <w:r>
        <w:rPr>
          <w:rStyle w:val="35"/>
          <w:rFonts w:hint="eastAsia" w:ascii="楷体" w:hAnsi="楷体" w:eastAsia="楷体"/>
          <w:sz w:val="24"/>
          <w:szCs w:val="24"/>
        </w:rPr>
        <w:t>健全社会保障体系</w:t>
      </w:r>
      <w:r>
        <w:rPr>
          <w:sz w:val="24"/>
          <w:szCs w:val="24"/>
        </w:rPr>
        <w:tab/>
      </w:r>
      <w:r>
        <w:rPr>
          <w:sz w:val="24"/>
          <w:szCs w:val="24"/>
        </w:rPr>
        <w:fldChar w:fldCharType="begin"/>
      </w:r>
      <w:r>
        <w:rPr>
          <w:sz w:val="24"/>
          <w:szCs w:val="24"/>
        </w:rPr>
        <w:instrText xml:space="preserve"> PAGEREF _Toc58853130 \h </w:instrText>
      </w:r>
      <w:r>
        <w:rPr>
          <w:sz w:val="24"/>
          <w:szCs w:val="24"/>
        </w:rPr>
        <w:fldChar w:fldCharType="separate"/>
      </w:r>
      <w:r>
        <w:rPr>
          <w:sz w:val="24"/>
          <w:szCs w:val="24"/>
        </w:rPr>
        <w:t>7</w:t>
      </w:r>
      <w:r>
        <w:rPr>
          <w:rFonts w:hint="eastAsia"/>
          <w:sz w:val="24"/>
          <w:szCs w:val="24"/>
        </w:rPr>
        <w:t>0</w:t>
      </w:r>
      <w:r>
        <w:rPr>
          <w:sz w:val="24"/>
          <w:szCs w:val="24"/>
        </w:rPr>
        <w:fldChar w:fldCharType="end"/>
      </w:r>
      <w:r>
        <w:rPr>
          <w:sz w:val="24"/>
          <w:szCs w:val="24"/>
        </w:rPr>
        <w:fldChar w:fldCharType="end"/>
      </w:r>
    </w:p>
    <w:p>
      <w:pPr>
        <w:pStyle w:val="21"/>
        <w:tabs>
          <w:tab w:val="right" w:leader="dot" w:pos="8296"/>
        </w:tabs>
        <w:spacing w:before="0" w:after="0" w:line="600" w:lineRule="exact"/>
        <w:ind w:firstLine="0" w:firstLineChars="0"/>
        <w:rPr>
          <w:rStyle w:val="35"/>
          <w:rFonts w:ascii="黑体" w:hAnsi="黑体" w:eastAsia="黑体"/>
          <w:b w:val="0"/>
          <w:bCs w:val="0"/>
        </w:rPr>
      </w:pPr>
      <w:r>
        <w:fldChar w:fldCharType="begin"/>
      </w:r>
      <w:r>
        <w:instrText xml:space="preserve"> HYPERLINK \l "_Toc58853131" </w:instrText>
      </w:r>
      <w:r>
        <w:fldChar w:fldCharType="separate"/>
      </w:r>
      <w:r>
        <w:rPr>
          <w:rStyle w:val="35"/>
          <w:rFonts w:hint="eastAsia" w:ascii="黑体" w:hAnsi="黑体" w:eastAsia="黑体"/>
          <w:b w:val="0"/>
          <w:bCs w:val="0"/>
          <w:sz w:val="24"/>
          <w:szCs w:val="24"/>
        </w:rPr>
        <w:t>第十四章</w:t>
      </w:r>
      <w:r>
        <w:rPr>
          <w:rStyle w:val="35"/>
          <w:rFonts w:ascii="黑体" w:hAnsi="黑体" w:eastAsia="黑体"/>
          <w:b w:val="0"/>
          <w:bCs w:val="0"/>
          <w:sz w:val="24"/>
          <w:szCs w:val="24"/>
        </w:rPr>
        <w:t xml:space="preserve"> </w:t>
      </w:r>
      <w:r>
        <w:rPr>
          <w:rStyle w:val="35"/>
          <w:rFonts w:hint="eastAsia" w:ascii="黑体" w:hAnsi="黑体" w:eastAsia="黑体"/>
          <w:b w:val="0"/>
          <w:bCs w:val="0"/>
          <w:sz w:val="24"/>
          <w:szCs w:val="24"/>
        </w:rPr>
        <w:t>完善治理体系，建设平安调兵山</w:t>
      </w:r>
      <w:r>
        <w:rPr>
          <w:rStyle w:val="35"/>
          <w:rFonts w:ascii="黑体" w:hAnsi="黑体" w:eastAsia="黑体"/>
          <w:b w:val="0"/>
          <w:bCs w:val="0"/>
        </w:rPr>
        <w:tab/>
      </w:r>
      <w:r>
        <w:rPr>
          <w:rStyle w:val="35"/>
          <w:rFonts w:ascii="Calibri" w:hAnsi="Calibri" w:eastAsia="黑体" w:cs="Calibri"/>
          <w:b w:val="0"/>
          <w:bCs w:val="0"/>
          <w:sz w:val="24"/>
          <w:szCs w:val="24"/>
        </w:rPr>
        <w:fldChar w:fldCharType="begin"/>
      </w:r>
      <w:r>
        <w:rPr>
          <w:rStyle w:val="35"/>
          <w:rFonts w:ascii="Calibri" w:hAnsi="Calibri" w:eastAsia="黑体" w:cs="Calibri"/>
          <w:b w:val="0"/>
          <w:bCs w:val="0"/>
          <w:sz w:val="24"/>
          <w:szCs w:val="24"/>
        </w:rPr>
        <w:instrText xml:space="preserve"> PAGEREF _Toc58853131 \h </w:instrText>
      </w:r>
      <w:r>
        <w:rPr>
          <w:rStyle w:val="35"/>
          <w:rFonts w:ascii="Calibri" w:hAnsi="Calibri" w:eastAsia="黑体" w:cs="Calibri"/>
          <w:b w:val="0"/>
          <w:bCs w:val="0"/>
          <w:sz w:val="24"/>
          <w:szCs w:val="24"/>
        </w:rPr>
        <w:fldChar w:fldCharType="separate"/>
      </w:r>
      <w:r>
        <w:rPr>
          <w:rStyle w:val="35"/>
          <w:rFonts w:ascii="Calibri" w:hAnsi="Calibri" w:eastAsia="黑体" w:cs="Calibri"/>
          <w:b w:val="0"/>
          <w:bCs w:val="0"/>
          <w:sz w:val="24"/>
          <w:szCs w:val="24"/>
        </w:rPr>
        <w:t>7</w:t>
      </w:r>
      <w:r>
        <w:rPr>
          <w:rStyle w:val="35"/>
          <w:rFonts w:hint="eastAsia" w:ascii="Calibri" w:hAnsi="Calibri" w:eastAsia="黑体" w:cs="Calibri"/>
          <w:b w:val="0"/>
          <w:bCs w:val="0"/>
          <w:sz w:val="24"/>
          <w:szCs w:val="24"/>
        </w:rPr>
        <w:t>1</w:t>
      </w:r>
      <w:r>
        <w:rPr>
          <w:rStyle w:val="35"/>
          <w:rFonts w:ascii="Calibri" w:hAnsi="Calibri" w:eastAsia="黑体" w:cs="Calibri"/>
          <w:b w:val="0"/>
          <w:bCs w:val="0"/>
          <w:sz w:val="24"/>
          <w:szCs w:val="24"/>
        </w:rPr>
        <w:fldChar w:fldCharType="end"/>
      </w:r>
      <w:r>
        <w:rPr>
          <w:rStyle w:val="35"/>
          <w:rFonts w:ascii="Calibri" w:hAnsi="Calibri" w:eastAsia="黑体" w:cs="Calibri"/>
          <w:b w:val="0"/>
          <w:bCs w:val="0"/>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"_Toc58853132" </w:instrText>
      </w:r>
      <w:r>
        <w:fldChar w:fldCharType="separate"/>
      </w:r>
      <w:r>
        <w:rPr>
          <w:rStyle w:val="35"/>
          <w:rFonts w:hint="eastAsia" w:ascii="楷体" w:hAnsi="楷体" w:eastAsia="楷体" w:cs="楷体"/>
          <w:sz w:val="24"/>
          <w:szCs w:val="24"/>
          <w:lang w:val="zh-CN"/>
        </w:rPr>
        <w:t>第一节</w:t>
      </w:r>
      <w:r>
        <w:rPr>
          <w:rStyle w:val="35"/>
          <w:rFonts w:ascii="楷体" w:hAnsi="楷体" w:eastAsia="楷体" w:cs="楷体"/>
          <w:sz w:val="24"/>
          <w:szCs w:val="24"/>
          <w:lang w:val="zh-CN"/>
        </w:rPr>
        <w:t xml:space="preserve"> </w:t>
      </w:r>
      <w:r>
        <w:rPr>
          <w:rStyle w:val="35"/>
          <w:rFonts w:hint="eastAsia" w:ascii="楷体" w:hAnsi="楷体" w:eastAsia="楷体" w:cs="楷体"/>
          <w:sz w:val="24"/>
          <w:szCs w:val="24"/>
          <w:lang w:val="zh-CN"/>
        </w:rPr>
        <w:t>全面推进依法治市</w:t>
      </w:r>
      <w:r>
        <w:rPr>
          <w:sz w:val="24"/>
          <w:szCs w:val="24"/>
        </w:rPr>
        <w:tab/>
      </w:r>
      <w:r>
        <w:rPr>
          <w:sz w:val="24"/>
          <w:szCs w:val="24"/>
        </w:rPr>
        <w:fldChar w:fldCharType="begin"/>
      </w:r>
      <w:r>
        <w:rPr>
          <w:sz w:val="24"/>
          <w:szCs w:val="24"/>
        </w:rPr>
        <w:instrText xml:space="preserve"> PAGEREF _Toc58853132 \h </w:instrText>
      </w:r>
      <w:r>
        <w:rPr>
          <w:sz w:val="24"/>
          <w:szCs w:val="24"/>
        </w:rPr>
        <w:fldChar w:fldCharType="separate"/>
      </w:r>
      <w:r>
        <w:rPr>
          <w:sz w:val="24"/>
          <w:szCs w:val="24"/>
        </w:rPr>
        <w:t>7</w:t>
      </w:r>
      <w:r>
        <w:rPr>
          <w:rFonts w:hint="eastAsia"/>
          <w:sz w:val="24"/>
          <w:szCs w:val="24"/>
        </w:rPr>
        <w:t>1</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"_Toc58853133" </w:instrText>
      </w:r>
      <w:r>
        <w:fldChar w:fldCharType="separate"/>
      </w:r>
      <w:r>
        <w:rPr>
          <w:rStyle w:val="35"/>
          <w:rFonts w:hint="eastAsia" w:ascii="楷体" w:hAnsi="楷体" w:eastAsia="楷体" w:cs="楷体"/>
          <w:sz w:val="24"/>
          <w:szCs w:val="24"/>
          <w:lang w:val="zh-CN"/>
        </w:rPr>
        <w:t>第二节</w:t>
      </w:r>
      <w:r>
        <w:rPr>
          <w:rStyle w:val="35"/>
          <w:rFonts w:ascii="楷体" w:hAnsi="楷体" w:eastAsia="楷体" w:cs="楷体"/>
          <w:sz w:val="24"/>
          <w:szCs w:val="24"/>
          <w:lang w:val="zh-CN"/>
        </w:rPr>
        <w:t xml:space="preserve"> </w:t>
      </w:r>
      <w:r>
        <w:rPr>
          <w:rStyle w:val="35"/>
          <w:rFonts w:hint="eastAsia" w:ascii="楷体" w:hAnsi="楷体" w:eastAsia="楷体" w:cs="楷体"/>
          <w:sz w:val="24"/>
          <w:szCs w:val="24"/>
          <w:lang w:val="zh-CN"/>
        </w:rPr>
        <w:t>提高基层治理能力</w:t>
      </w:r>
      <w:r>
        <w:rPr>
          <w:sz w:val="24"/>
          <w:szCs w:val="24"/>
        </w:rPr>
        <w:tab/>
      </w:r>
      <w:r>
        <w:rPr>
          <w:sz w:val="24"/>
          <w:szCs w:val="24"/>
        </w:rPr>
        <w:fldChar w:fldCharType="begin"/>
      </w:r>
      <w:r>
        <w:rPr>
          <w:sz w:val="24"/>
          <w:szCs w:val="24"/>
        </w:rPr>
        <w:instrText xml:space="preserve"> PAGEREF _Toc58853133 \h </w:instrText>
      </w:r>
      <w:r>
        <w:rPr>
          <w:sz w:val="24"/>
          <w:szCs w:val="24"/>
        </w:rPr>
        <w:fldChar w:fldCharType="separate"/>
      </w:r>
      <w:r>
        <w:rPr>
          <w:sz w:val="24"/>
          <w:szCs w:val="24"/>
        </w:rPr>
        <w:t>7</w:t>
      </w:r>
      <w:r>
        <w:rPr>
          <w:rFonts w:hint="eastAsia"/>
          <w:sz w:val="24"/>
          <w:szCs w:val="24"/>
        </w:rPr>
        <w:t>1</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"_Toc58853134" </w:instrText>
      </w:r>
      <w:r>
        <w:fldChar w:fldCharType="separate"/>
      </w:r>
      <w:r>
        <w:rPr>
          <w:rStyle w:val="35"/>
          <w:rFonts w:hint="eastAsia" w:ascii="楷体" w:hAnsi="楷体" w:eastAsia="楷体"/>
          <w:sz w:val="24"/>
          <w:szCs w:val="24"/>
        </w:rPr>
        <w:t>第三节</w:t>
      </w:r>
      <w:r>
        <w:rPr>
          <w:rStyle w:val="35"/>
          <w:rFonts w:ascii="楷体" w:hAnsi="楷体" w:eastAsia="楷体"/>
          <w:sz w:val="24"/>
          <w:szCs w:val="24"/>
        </w:rPr>
        <w:t xml:space="preserve"> </w:t>
      </w:r>
      <w:r>
        <w:rPr>
          <w:rStyle w:val="35"/>
          <w:rFonts w:hint="eastAsia" w:ascii="楷体" w:hAnsi="楷体" w:eastAsia="楷体"/>
          <w:sz w:val="24"/>
          <w:szCs w:val="24"/>
        </w:rPr>
        <w:t>建设平安调兵山</w:t>
      </w:r>
      <w:r>
        <w:rPr>
          <w:sz w:val="24"/>
          <w:szCs w:val="24"/>
        </w:rPr>
        <w:tab/>
      </w:r>
      <w:r>
        <w:rPr>
          <w:sz w:val="24"/>
          <w:szCs w:val="24"/>
        </w:rPr>
        <w:fldChar w:fldCharType="begin"/>
      </w:r>
      <w:r>
        <w:rPr>
          <w:sz w:val="24"/>
          <w:szCs w:val="24"/>
        </w:rPr>
        <w:instrText xml:space="preserve"> PAGEREF _Toc58853134 \h </w:instrText>
      </w:r>
      <w:r>
        <w:rPr>
          <w:sz w:val="24"/>
          <w:szCs w:val="24"/>
        </w:rPr>
        <w:fldChar w:fldCharType="separate"/>
      </w:r>
      <w:r>
        <w:rPr>
          <w:sz w:val="24"/>
          <w:szCs w:val="24"/>
        </w:rPr>
        <w:t>7</w:t>
      </w:r>
      <w:r>
        <w:rPr>
          <w:rFonts w:hint="eastAsia"/>
          <w:sz w:val="24"/>
          <w:szCs w:val="24"/>
        </w:rPr>
        <w:t>2</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"_Toc58853135" </w:instrText>
      </w:r>
      <w:r>
        <w:fldChar w:fldCharType="separate"/>
      </w:r>
      <w:r>
        <w:rPr>
          <w:rStyle w:val="35"/>
          <w:rFonts w:hint="eastAsia" w:ascii="楷体" w:hAnsi="楷体" w:eastAsia="楷体"/>
          <w:sz w:val="24"/>
          <w:szCs w:val="24"/>
        </w:rPr>
        <w:t>第四节</w:t>
      </w:r>
      <w:r>
        <w:rPr>
          <w:rStyle w:val="35"/>
          <w:rFonts w:ascii="楷体" w:hAnsi="楷体" w:eastAsia="楷体"/>
          <w:sz w:val="24"/>
          <w:szCs w:val="24"/>
        </w:rPr>
        <w:t xml:space="preserve"> </w:t>
      </w:r>
      <w:r>
        <w:rPr>
          <w:rStyle w:val="35"/>
          <w:rFonts w:hint="eastAsia" w:ascii="楷体" w:hAnsi="楷体" w:eastAsia="楷体"/>
          <w:sz w:val="24"/>
          <w:szCs w:val="24"/>
        </w:rPr>
        <w:t>完善应急管理体系</w:t>
      </w:r>
      <w:r>
        <w:rPr>
          <w:sz w:val="24"/>
          <w:szCs w:val="24"/>
        </w:rPr>
        <w:tab/>
      </w:r>
      <w:r>
        <w:rPr>
          <w:sz w:val="24"/>
          <w:szCs w:val="24"/>
        </w:rPr>
        <w:fldChar w:fldCharType="begin"/>
      </w:r>
      <w:r>
        <w:rPr>
          <w:sz w:val="24"/>
          <w:szCs w:val="24"/>
        </w:rPr>
        <w:instrText xml:space="preserve"> PAGEREF _Toc58853135 \h </w:instrText>
      </w:r>
      <w:r>
        <w:rPr>
          <w:sz w:val="24"/>
          <w:szCs w:val="24"/>
        </w:rPr>
        <w:fldChar w:fldCharType="separate"/>
      </w:r>
      <w:r>
        <w:rPr>
          <w:sz w:val="24"/>
          <w:szCs w:val="24"/>
        </w:rPr>
        <w:t>7</w:t>
      </w:r>
      <w:r>
        <w:rPr>
          <w:rFonts w:hint="eastAsia"/>
          <w:sz w:val="24"/>
          <w:szCs w:val="24"/>
        </w:rPr>
        <w:t>4</w:t>
      </w:r>
      <w:r>
        <w:rPr>
          <w:sz w:val="24"/>
          <w:szCs w:val="24"/>
        </w:rPr>
        <w:fldChar w:fldCharType="end"/>
      </w:r>
      <w:r>
        <w:rPr>
          <w:sz w:val="24"/>
          <w:szCs w:val="24"/>
        </w:rPr>
        <w:fldChar w:fldCharType="end"/>
      </w:r>
    </w:p>
    <w:p>
      <w:pPr>
        <w:pStyle w:val="21"/>
        <w:tabs>
          <w:tab w:val="right" w:leader="dot" w:pos="8296"/>
        </w:tabs>
        <w:spacing w:before="0" w:after="0" w:line="600" w:lineRule="exact"/>
        <w:ind w:firstLine="0" w:firstLineChars="0"/>
        <w:rPr>
          <w:rStyle w:val="35"/>
          <w:rFonts w:ascii="黑体" w:hAnsi="黑体" w:eastAsia="黑体"/>
          <w:b w:val="0"/>
          <w:bCs w:val="0"/>
        </w:rPr>
      </w:pPr>
      <w:r>
        <w:fldChar w:fldCharType="begin"/>
      </w:r>
      <w:r>
        <w:instrText xml:space="preserve"> HYPERLINK \l "_Toc58853136" </w:instrText>
      </w:r>
      <w:r>
        <w:fldChar w:fldCharType="separate"/>
      </w:r>
      <w:r>
        <w:rPr>
          <w:rStyle w:val="35"/>
          <w:rFonts w:hint="eastAsia" w:ascii="黑体" w:hAnsi="黑体" w:eastAsia="黑体"/>
          <w:b w:val="0"/>
          <w:bCs w:val="0"/>
          <w:sz w:val="24"/>
          <w:szCs w:val="24"/>
        </w:rPr>
        <w:t>第十五章 加强保障工作，如期实现规划目标</w:t>
      </w:r>
      <w:r>
        <w:rPr>
          <w:b w:val="0"/>
          <w:bCs w:val="0"/>
          <w:caps w:val="0"/>
          <w:smallCaps/>
          <w:sz w:val="24"/>
          <w:szCs w:val="24"/>
        </w:rPr>
        <w:tab/>
      </w:r>
      <w:r>
        <w:rPr>
          <w:rFonts w:hint="eastAsia"/>
          <w:b w:val="0"/>
          <w:bCs w:val="0"/>
          <w:caps w:val="0"/>
          <w:smallCaps/>
          <w:sz w:val="24"/>
          <w:szCs w:val="24"/>
        </w:rPr>
        <w:t>7</w:t>
      </w:r>
      <w:r>
        <w:rPr>
          <w:rFonts w:hint="eastAsia"/>
          <w:b w:val="0"/>
          <w:bCs w:val="0"/>
          <w:caps w:val="0"/>
          <w:smallCaps/>
          <w:sz w:val="24"/>
          <w:szCs w:val="24"/>
        </w:rPr>
        <w:fldChar w:fldCharType="end"/>
      </w:r>
      <w:r>
        <w:rPr>
          <w:rFonts w:hint="eastAsia"/>
          <w:b w:val="0"/>
          <w:bCs w:val="0"/>
          <w:caps w:val="0"/>
          <w:smallCaps/>
          <w:sz w:val="24"/>
          <w:szCs w:val="24"/>
        </w:rPr>
        <w:t>6</w:t>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"_Toc58853137" </w:instrText>
      </w:r>
      <w:r>
        <w:fldChar w:fldCharType="separate"/>
      </w:r>
      <w:r>
        <w:rPr>
          <w:rStyle w:val="35"/>
          <w:rFonts w:hint="eastAsia" w:ascii="Times New Roman" w:hAnsi="Times New Roman" w:eastAsia="楷体" w:cs="Times New Roman"/>
          <w:sz w:val="24"/>
          <w:szCs w:val="24"/>
        </w:rPr>
        <w:t>第一节</w:t>
      </w:r>
      <w:r>
        <w:rPr>
          <w:rStyle w:val="35"/>
          <w:rFonts w:ascii="Times New Roman" w:hAnsi="Times New Roman" w:eastAsia="楷体" w:cs="Times New Roman"/>
          <w:sz w:val="24"/>
          <w:szCs w:val="24"/>
        </w:rPr>
        <w:t xml:space="preserve"> </w:t>
      </w:r>
      <w:r>
        <w:rPr>
          <w:rStyle w:val="35"/>
          <w:rFonts w:hint="eastAsia" w:ascii="Times New Roman" w:hAnsi="Times New Roman" w:eastAsia="楷体" w:cs="Times New Roman"/>
          <w:sz w:val="24"/>
          <w:szCs w:val="24"/>
        </w:rPr>
        <w:t>发挥党的领导核心作用</w:t>
      </w:r>
      <w:r>
        <w:rPr>
          <w:sz w:val="24"/>
          <w:szCs w:val="24"/>
        </w:rPr>
        <w:tab/>
      </w:r>
      <w:r>
        <w:rPr>
          <w:sz w:val="24"/>
          <w:szCs w:val="24"/>
        </w:rPr>
        <w:fldChar w:fldCharType="begin"/>
      </w:r>
      <w:r>
        <w:rPr>
          <w:sz w:val="24"/>
          <w:szCs w:val="24"/>
        </w:rPr>
        <w:instrText xml:space="preserve"> PAGEREF _Toc58853137 \h </w:instrText>
      </w:r>
      <w:r>
        <w:rPr>
          <w:sz w:val="24"/>
          <w:szCs w:val="24"/>
        </w:rPr>
        <w:fldChar w:fldCharType="separate"/>
      </w:r>
      <w:r>
        <w:rPr>
          <w:sz w:val="24"/>
          <w:szCs w:val="24"/>
        </w:rPr>
        <w:t>7</w:t>
      </w:r>
      <w:r>
        <w:rPr>
          <w:rFonts w:hint="eastAsia"/>
          <w:sz w:val="24"/>
          <w:szCs w:val="24"/>
        </w:rPr>
        <w:t>6</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rFonts w:eastAsiaTheme="minorEastAsia"/>
          <w:smallCaps w:val="0"/>
          <w:sz w:val="24"/>
          <w:szCs w:val="24"/>
        </w:rPr>
      </w:pPr>
      <w:r>
        <w:fldChar w:fldCharType="begin"/>
      </w:r>
      <w:r>
        <w:instrText xml:space="preserve"> HYPERLINK \l "_Toc58853138" </w:instrText>
      </w:r>
      <w:r>
        <w:fldChar w:fldCharType="separate"/>
      </w:r>
      <w:r>
        <w:rPr>
          <w:rStyle w:val="35"/>
          <w:rFonts w:hint="eastAsia" w:ascii="楷体" w:hAnsi="楷体" w:eastAsia="楷体"/>
          <w:sz w:val="24"/>
          <w:szCs w:val="24"/>
        </w:rPr>
        <w:t>第二节</w:t>
      </w:r>
      <w:r>
        <w:rPr>
          <w:rStyle w:val="35"/>
          <w:rFonts w:ascii="楷体" w:hAnsi="楷体" w:eastAsia="楷体"/>
          <w:sz w:val="24"/>
          <w:szCs w:val="24"/>
        </w:rPr>
        <w:t xml:space="preserve"> </w:t>
      </w:r>
      <w:r>
        <w:rPr>
          <w:rStyle w:val="35"/>
          <w:rFonts w:hint="eastAsia" w:ascii="楷体" w:hAnsi="楷体" w:eastAsia="楷体"/>
          <w:sz w:val="24"/>
          <w:szCs w:val="24"/>
        </w:rPr>
        <w:t>夯实要素保障能力</w:t>
      </w:r>
      <w:r>
        <w:rPr>
          <w:sz w:val="24"/>
          <w:szCs w:val="24"/>
        </w:rPr>
        <w:tab/>
      </w:r>
      <w:r>
        <w:rPr>
          <w:sz w:val="24"/>
          <w:szCs w:val="24"/>
        </w:rPr>
        <w:fldChar w:fldCharType="begin"/>
      </w:r>
      <w:r>
        <w:rPr>
          <w:sz w:val="24"/>
          <w:szCs w:val="24"/>
        </w:rPr>
        <w:instrText xml:space="preserve"> PAGEREF _Toc58853138 \h </w:instrText>
      </w:r>
      <w:r>
        <w:rPr>
          <w:sz w:val="24"/>
          <w:szCs w:val="24"/>
        </w:rPr>
        <w:fldChar w:fldCharType="separate"/>
      </w:r>
      <w:r>
        <w:rPr>
          <w:sz w:val="24"/>
          <w:szCs w:val="24"/>
        </w:rPr>
        <w:t>7</w:t>
      </w:r>
      <w:r>
        <w:rPr>
          <w:rFonts w:hint="eastAsia"/>
          <w:sz w:val="24"/>
          <w:szCs w:val="24"/>
        </w:rPr>
        <w:t>6</w:t>
      </w:r>
      <w:r>
        <w:rPr>
          <w:sz w:val="24"/>
          <w:szCs w:val="24"/>
        </w:rPr>
        <w:fldChar w:fldCharType="end"/>
      </w:r>
      <w:r>
        <w:rPr>
          <w:sz w:val="24"/>
          <w:szCs w:val="24"/>
        </w:rPr>
        <w:fldChar w:fldCharType="end"/>
      </w:r>
    </w:p>
    <w:p>
      <w:pPr>
        <w:pStyle w:val="24"/>
        <w:tabs>
          <w:tab w:val="right" w:leader="dot" w:pos="8296"/>
        </w:tabs>
        <w:spacing w:line="600" w:lineRule="exact"/>
        <w:ind w:firstLine="0" w:firstLineChars="0"/>
        <w:rPr>
          <w:smallCaps w:val="0"/>
          <w:sz w:val="24"/>
          <w:szCs w:val="24"/>
        </w:rPr>
      </w:pPr>
      <w:r>
        <w:fldChar w:fldCharType="begin"/>
      </w:r>
      <w:r>
        <w:instrText xml:space="preserve"> HYPERLINK \l "_Toc58853139" </w:instrText>
      </w:r>
      <w:r>
        <w:fldChar w:fldCharType="separate"/>
      </w:r>
      <w:r>
        <w:rPr>
          <w:rStyle w:val="35"/>
          <w:rFonts w:hint="eastAsia" w:ascii="楷体" w:hAnsi="楷体" w:eastAsia="楷体"/>
          <w:sz w:val="24"/>
          <w:szCs w:val="24"/>
        </w:rPr>
        <w:t>第三节</w:t>
      </w:r>
      <w:r>
        <w:rPr>
          <w:rStyle w:val="35"/>
          <w:rFonts w:ascii="楷体" w:hAnsi="楷体" w:eastAsia="楷体"/>
          <w:sz w:val="24"/>
          <w:szCs w:val="24"/>
        </w:rPr>
        <w:t xml:space="preserve"> </w:t>
      </w:r>
      <w:r>
        <w:rPr>
          <w:rStyle w:val="35"/>
          <w:rFonts w:hint="eastAsia" w:ascii="楷体" w:hAnsi="楷体" w:eastAsia="楷体"/>
          <w:sz w:val="24"/>
          <w:szCs w:val="24"/>
        </w:rPr>
        <w:t>健全规划实施机制</w:t>
      </w:r>
      <w:r>
        <w:rPr>
          <w:sz w:val="24"/>
          <w:szCs w:val="24"/>
        </w:rPr>
        <w:tab/>
      </w:r>
      <w:r>
        <w:rPr>
          <w:rFonts w:hint="eastAsia"/>
          <w:sz w:val="24"/>
          <w:szCs w:val="24"/>
        </w:rPr>
        <w:t>7</w:t>
      </w:r>
      <w:r>
        <w:rPr>
          <w:rFonts w:hint="eastAsia"/>
          <w:sz w:val="24"/>
          <w:szCs w:val="24"/>
        </w:rPr>
        <w:fldChar w:fldCharType="end"/>
      </w:r>
      <w:r>
        <w:rPr>
          <w:rFonts w:hint="eastAsia"/>
          <w:sz w:val="24"/>
          <w:szCs w:val="24"/>
        </w:rPr>
        <w:t>8</w:t>
      </w:r>
    </w:p>
    <w:p>
      <w:pPr>
        <w:spacing w:line="600" w:lineRule="exact"/>
        <w:ind w:firstLine="0" w:firstLineChars="0"/>
        <w:rPr>
          <w:rFonts w:ascii="仿宋_GB2312" w:hAnsi="仿宋_GB2312" w:eastAsia="仿宋_GB2312" w:cs="仿宋_GB2312"/>
        </w:rPr>
      </w:pPr>
      <w:r>
        <w:rPr>
          <w:rFonts w:ascii="仿宋_GB2312" w:hAnsi="仿宋_GB2312" w:eastAsia="仿宋_GB2312" w:cs="仿宋_GB2312"/>
          <w:sz w:val="24"/>
          <w:szCs w:val="24"/>
        </w:rPr>
        <w:fldChar w:fldCharType="end"/>
      </w:r>
    </w:p>
    <w:p>
      <w:pPr>
        <w:pStyle w:val="2"/>
        <w:ind w:firstLine="0" w:firstLineChars="0"/>
        <w:sectPr>
          <w:footerReference r:id="rId7" w:type="default"/>
          <w:pgSz w:w="11906" w:h="16838"/>
          <w:pgMar w:top="1440" w:right="1800" w:bottom="1440" w:left="1800" w:header="851" w:footer="992" w:gutter="0"/>
          <w:pgNumType w:start="1"/>
          <w:cols w:space="425" w:num="1"/>
          <w:docGrid w:type="lines" w:linePitch="312" w:charSpace="0"/>
        </w:sectPr>
      </w:pPr>
    </w:p>
    <w:p>
      <w:pPr>
        <w:overflowPunct w:val="0"/>
        <w:adjustRightInd w:val="0"/>
        <w:snapToGrid w:val="0"/>
        <w:spacing w:line="600" w:lineRule="exact"/>
        <w:ind w:firstLine="640"/>
        <w:rPr>
          <w:rFonts w:ascii="仿宋_GB2312" w:hAnsi="仿宋" w:eastAsia="仿宋_GB2312" w:cs="Times New Roman"/>
          <w:color w:val="000000" w:themeColor="text1"/>
          <w:szCs w:val="32"/>
          <w:lang w:val="zh-TW"/>
        </w:rPr>
      </w:pPr>
      <w:r>
        <w:rPr>
          <w:rFonts w:hint="eastAsia" w:ascii="仿宋_GB2312" w:hAnsi="仿宋_GB2312" w:eastAsia="仿宋_GB2312" w:cs="仿宋_GB2312"/>
          <w:color w:val="000000" w:themeColor="text1"/>
          <w:szCs w:val="32"/>
          <w:lang w:val="zh-TW"/>
        </w:rPr>
        <w:t>“十四五”时期是我国全面建成小康社会，实现第一个百年奋斗目标之后，乘势而上开启全面建设社会主义现代化国家新征程、向第二个百年奋斗目标进军的第一个五年，是调兵山实现全方位高质量发展的关键阶段。以经济转型、社会转型、城市转型为主线，科学谋划“十四五”规划和2035年发展远景目标，对于推动资源型城市创新转型和现代化建设，具有重大现实意义和深远历史意义。《调兵山市国民经济和社会发展第十四个五年规划和二〇三五年远景目标纲要》是政府部门履行经济调节、市场监管、社会管理和公共服务职责的重要依据，是引导市场主体行为的重要参考，是引领全市人民共同奋斗的行动纲领。</w:t>
      </w:r>
    </w:p>
    <w:p>
      <w:pPr>
        <w:pStyle w:val="3"/>
        <w:spacing w:before="0" w:after="0" w:line="600" w:lineRule="exact"/>
        <w:rPr>
          <w:b w:val="0"/>
          <w:bCs w:val="0"/>
          <w:sz w:val="36"/>
        </w:rPr>
      </w:pPr>
      <w:bookmarkStart w:id="3" w:name="_Toc50886991"/>
      <w:bookmarkStart w:id="4" w:name="_Toc50889127"/>
      <w:bookmarkStart w:id="5" w:name="_Toc50889033"/>
      <w:bookmarkStart w:id="6" w:name="_Toc58853071"/>
      <w:r>
        <w:rPr>
          <w:rFonts w:hint="eastAsia"/>
          <w:b w:val="0"/>
          <w:bCs w:val="0"/>
          <w:sz w:val="32"/>
          <w:szCs w:val="32"/>
        </w:rPr>
        <w:t xml:space="preserve">第一章 </w:t>
      </w:r>
      <w:bookmarkEnd w:id="3"/>
      <w:bookmarkEnd w:id="4"/>
      <w:bookmarkEnd w:id="5"/>
      <w:r>
        <w:rPr>
          <w:rFonts w:hint="eastAsia"/>
          <w:b w:val="0"/>
          <w:bCs w:val="0"/>
          <w:sz w:val="32"/>
          <w:szCs w:val="32"/>
        </w:rPr>
        <w:t>基本实现小康社会建设任务</w:t>
      </w:r>
      <w:bookmarkEnd w:id="6"/>
    </w:p>
    <w:p>
      <w:pPr>
        <w:spacing w:line="600" w:lineRule="exact"/>
        <w:ind w:firstLine="640"/>
        <w:rPr>
          <w:rFonts w:ascii="仿宋_GB2312" w:hAnsi="仿宋_GB2312" w:eastAsia="仿宋_GB2312" w:cs="仿宋_GB2312"/>
          <w:szCs w:val="32"/>
          <w:shd w:val="clear" w:color="auto" w:fill="FFFFFF"/>
        </w:rPr>
      </w:pPr>
      <w:r>
        <w:rPr>
          <w:rFonts w:hint="eastAsia" w:ascii="仿宋_GB2312" w:hAnsi="仿宋_GB2312" w:eastAsia="仿宋_GB2312" w:cs="仿宋_GB2312"/>
          <w:szCs w:val="32"/>
          <w:shd w:val="clear" w:color="auto" w:fill="FFFFFF"/>
        </w:rPr>
        <w:t>“十三五”以来，</w:t>
      </w:r>
      <w:bookmarkStart w:id="7" w:name="_Toc7735"/>
      <w:bookmarkStart w:id="8" w:name="_Toc25348"/>
      <w:bookmarkStart w:id="9" w:name="_Toc31715"/>
      <w:bookmarkStart w:id="10" w:name="_Toc1164"/>
      <w:bookmarkStart w:id="11" w:name="_Toc47165718"/>
      <w:bookmarkStart w:id="12" w:name="_Toc50886992"/>
      <w:bookmarkStart w:id="13" w:name="_Toc25936"/>
      <w:bookmarkStart w:id="14" w:name="_Toc50889128"/>
      <w:bookmarkStart w:id="15" w:name="_Toc50889034"/>
      <w:r>
        <w:rPr>
          <w:rFonts w:hint="eastAsia" w:ascii="仿宋_GB2312" w:hAnsi="仿宋_GB2312" w:eastAsia="仿宋_GB2312" w:cs="仿宋_GB2312"/>
          <w:szCs w:val="32"/>
          <w:shd w:val="clear" w:color="auto" w:fill="FFFFFF"/>
        </w:rPr>
        <w:t>全市</w:t>
      </w:r>
      <w:r>
        <w:rPr>
          <w:rFonts w:hint="eastAsia" w:ascii="仿宋_GB2312" w:hAnsi="仿宋_GB2312" w:eastAsia="仿宋_GB2312" w:cs="仿宋_GB2312"/>
          <w:szCs w:val="32"/>
        </w:rPr>
        <w:t>上下积极克服经济下行压力，全面落实新发展理念，紧紧把握国家新一轮东北振兴等机遇，按照习近平总书记9.28重要讲话精神，</w:t>
      </w:r>
      <w:r>
        <w:rPr>
          <w:rFonts w:hint="eastAsia" w:ascii="仿宋_GB2312" w:hAnsi="仿宋_GB2312" w:eastAsia="仿宋_GB2312" w:cs="仿宋_GB2312"/>
          <w:szCs w:val="32"/>
          <w:shd w:val="clear" w:color="auto" w:fill="FFFFFF"/>
        </w:rPr>
        <w:t>深刻把握“五型城市”实质内涵，大力推进建设“五个调兵山”具体目标，</w:t>
      </w:r>
      <w:r>
        <w:rPr>
          <w:rFonts w:hint="eastAsia" w:ascii="仿宋_GB2312" w:hAnsi="仿宋_GB2312" w:eastAsia="仿宋_GB2312" w:cs="仿宋_GB2312"/>
          <w:szCs w:val="32"/>
        </w:rPr>
        <w:t>较好地完成“十三五”规划纲要确定的各项指标任务，经济、政治、文化、社会和生态文明建设领域取得显著成就</w:t>
      </w:r>
      <w:r>
        <w:rPr>
          <w:rFonts w:hint="eastAsia" w:ascii="仿宋_GB2312" w:hAnsi="仿宋_GB2312" w:eastAsia="仿宋_GB2312" w:cs="仿宋_GB2312"/>
          <w:szCs w:val="32"/>
          <w:shd w:val="clear" w:color="auto" w:fill="FFFFFF"/>
        </w:rPr>
        <w:t>，县域经济社会平稳发展，为开启全面建设社会主义现代化新征程夯实发展基础。</w:t>
      </w:r>
    </w:p>
    <w:p>
      <w:pPr>
        <w:pStyle w:val="4"/>
        <w:spacing w:before="0" w:after="0" w:line="600" w:lineRule="exact"/>
        <w:rPr>
          <w:rFonts w:ascii="楷体" w:hAnsi="楷体" w:eastAsia="楷体" w:cs="Times New Roman"/>
          <w:bCs w:val="0"/>
        </w:rPr>
      </w:pPr>
      <w:bookmarkStart w:id="16" w:name="_Toc58853072"/>
      <w:r>
        <w:rPr>
          <w:rFonts w:hint="eastAsia" w:ascii="楷体_GB2312" w:hAnsi="楷体_GB2312" w:eastAsia="楷体_GB2312" w:cs="楷体_GB2312"/>
          <w:bCs w:val="0"/>
        </w:rPr>
        <w:t xml:space="preserve">第一节 </w:t>
      </w:r>
      <w:bookmarkEnd w:id="7"/>
      <w:bookmarkEnd w:id="8"/>
      <w:bookmarkEnd w:id="9"/>
      <w:bookmarkEnd w:id="10"/>
      <w:r>
        <w:rPr>
          <w:rFonts w:hint="eastAsia" w:ascii="楷体_GB2312" w:hAnsi="楷体_GB2312" w:eastAsia="楷体_GB2312" w:cs="楷体_GB2312"/>
          <w:bCs w:val="0"/>
        </w:rPr>
        <w:t>发展基础</w:t>
      </w:r>
      <w:bookmarkEnd w:id="11"/>
      <w:bookmarkEnd w:id="12"/>
      <w:bookmarkEnd w:id="13"/>
      <w:bookmarkEnd w:id="14"/>
      <w:bookmarkEnd w:id="15"/>
      <w:bookmarkEnd w:id="16"/>
    </w:p>
    <w:p>
      <w:pPr>
        <w:topLinePunct/>
        <w:spacing w:line="600" w:lineRule="exact"/>
        <w:ind w:firstLine="640"/>
        <w:rPr>
          <w:rFonts w:ascii="仿宋_GB2312" w:hAnsi="仿宋_GB2312" w:eastAsia="仿宋_GB2312" w:cs="仿宋_GB2312"/>
          <w:bCs/>
          <w:color w:val="FF0000"/>
          <w:szCs w:val="32"/>
        </w:rPr>
      </w:pPr>
      <w:bookmarkStart w:id="17" w:name="_Toc50889129"/>
      <w:bookmarkStart w:id="18" w:name="_Toc47623172"/>
      <w:bookmarkStart w:id="19" w:name="_Toc50886993"/>
      <w:bookmarkStart w:id="20" w:name="_Toc50889035"/>
      <w:r>
        <w:rPr>
          <w:rFonts w:hint="eastAsia" w:ascii="仿宋_GB2312" w:hAnsi="仿宋_GB2312" w:eastAsia="仿宋_GB2312" w:cs="仿宋_GB2312"/>
          <w:bCs/>
          <w:szCs w:val="32"/>
        </w:rPr>
        <w:t>“十三五”时期，始终坚持中国共产党领导，充分发挥市委统揽全局、协调各方的领导核心作用，以政治建设为统领，推动各项工作落实，切实把党的政治优势和组织优势转化为全市经济社会全面振兴发展的强大动力。五年来</w:t>
      </w:r>
      <w:r>
        <w:rPr>
          <w:rFonts w:hint="eastAsia" w:ascii="仿宋_GB2312" w:hAnsi="仿宋_GB2312" w:eastAsia="仿宋_GB2312" w:cs="仿宋_GB2312"/>
          <w:szCs w:val="32"/>
          <w:shd w:val="clear" w:color="auto" w:fill="FFFFFF"/>
        </w:rPr>
        <w:t>，我市</w:t>
      </w:r>
      <w:r>
        <w:rPr>
          <w:rFonts w:hint="eastAsia" w:ascii="仿宋_GB2312" w:hAnsi="仿宋_GB2312" w:eastAsia="仿宋_GB2312" w:cs="仿宋_GB2312"/>
          <w:szCs w:val="32"/>
        </w:rPr>
        <w:t>突出创新引领，着力深化改革，</w:t>
      </w:r>
      <w:r>
        <w:rPr>
          <w:rFonts w:hint="eastAsia" w:ascii="仿宋_GB2312" w:hAnsi="仿宋_GB2312" w:eastAsia="仿宋_GB2312" w:cs="仿宋_GB2312"/>
          <w:bCs/>
          <w:szCs w:val="32"/>
        </w:rPr>
        <w:t>统筹推进稳增长、促改革、调结构、惠民生、防风险、保稳定各项工作,</w:t>
      </w:r>
      <w:r>
        <w:rPr>
          <w:rFonts w:hint="eastAsia" w:ascii="仿宋_GB2312" w:hAnsi="仿宋_GB2312" w:eastAsia="仿宋_GB2312" w:cs="仿宋_GB2312"/>
          <w:szCs w:val="32"/>
          <w:shd w:val="clear" w:color="auto" w:fill="FFFFFF"/>
        </w:rPr>
        <w:t>基本完成</w:t>
      </w:r>
      <w:r>
        <w:rPr>
          <w:rFonts w:hint="eastAsia" w:ascii="仿宋_GB2312" w:hAnsi="仿宋_GB2312" w:eastAsia="仿宋_GB2312" w:cs="仿宋_GB2312"/>
          <w:kern w:val="0"/>
          <w:szCs w:val="32"/>
        </w:rPr>
        <w:t>“十三五”规划纲要中经济、创新、共享和绿色发展四大领域40项经济社会发展目标，规划实施总体进展顺利，</w:t>
      </w:r>
      <w:r>
        <w:rPr>
          <w:rFonts w:hint="eastAsia" w:ascii="仿宋_GB2312" w:hAnsi="仿宋_GB2312" w:eastAsia="仿宋_GB2312" w:cs="仿宋_GB2312"/>
          <w:szCs w:val="32"/>
          <w:shd w:val="clear" w:color="auto" w:fill="FFFFFF"/>
        </w:rPr>
        <w:t>我市经济社会保持稳中向好的发展态势，</w:t>
      </w:r>
      <w:r>
        <w:rPr>
          <w:rFonts w:hint="eastAsia" w:ascii="仿宋_GB2312" w:hAnsi="仿宋_GB2312" w:eastAsia="仿宋_GB2312" w:cs="仿宋_GB2312"/>
          <w:szCs w:val="32"/>
        </w:rPr>
        <w:t>全面建成小康社会目标基本实现，为“十四五”经济社会发展奠定了良好基础。</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bCs/>
          <w:szCs w:val="32"/>
          <w:shd w:val="clear" w:color="auto" w:fill="FFFFFF"/>
        </w:rPr>
        <w:t>基本建成小康社会。</w:t>
      </w:r>
      <w:r>
        <w:rPr>
          <w:rFonts w:hint="eastAsia" w:ascii="仿宋_GB2312" w:hAnsi="仿宋_GB2312" w:eastAsia="仿宋_GB2312" w:cs="仿宋_GB2312"/>
          <w:szCs w:val="32"/>
          <w:shd w:val="clear" w:color="auto" w:fill="FFFFFF"/>
        </w:rPr>
        <w:t>“十三五”末期，预计地区生产总值实现101.4亿元；固定资产投资累计59亿元；一般公共预算收入达到8.24亿元；社会消费品零售总额达到58亿元；城镇居民可支配收入25428元，农村居民纯收入18238元。项目建设扎实推进。农业综合效益稳步提升，工业经济平稳运行，现代服务业加快发展，三次产业比重调整为</w:t>
      </w:r>
      <w:r>
        <w:rPr>
          <w:rFonts w:hint="eastAsia" w:ascii="仿宋_GB2312" w:hAnsi="仿宋_GB2312" w:eastAsia="仿宋_GB2312" w:cs="仿宋_GB2312"/>
          <w:szCs w:val="32"/>
        </w:rPr>
        <w:t>3.3:62.2:34.5</w:t>
      </w:r>
      <w:r>
        <w:rPr>
          <w:rFonts w:hint="eastAsia" w:ascii="仿宋_GB2312" w:hAnsi="仿宋_GB2312" w:eastAsia="仿宋_GB2312" w:cs="仿宋_GB2312"/>
          <w:szCs w:val="32"/>
          <w:shd w:val="clear" w:color="auto" w:fill="FFFFFF"/>
        </w:rPr>
        <w:t>。</w:t>
      </w:r>
    </w:p>
    <w:p>
      <w:pPr>
        <w:spacing w:line="600" w:lineRule="exact"/>
        <w:ind w:firstLine="643"/>
        <w:rPr>
          <w:rFonts w:ascii="仿宋_GB2312" w:hAnsi="仿宋" w:eastAsia="仿宋_GB2312"/>
          <w:bCs/>
          <w:szCs w:val="32"/>
        </w:rPr>
      </w:pPr>
      <w:r>
        <w:rPr>
          <w:rFonts w:hint="eastAsia" w:ascii="仿宋_GB2312" w:hAnsi="仿宋_GB2312" w:eastAsia="仿宋_GB2312" w:cs="仿宋_GB2312"/>
          <w:b/>
          <w:bCs/>
          <w:szCs w:val="32"/>
          <w:shd w:val="clear" w:color="auto" w:fill="FFFFFF"/>
        </w:rPr>
        <w:t>产业发展基础更加扎实。农业发展质效全面提升。</w:t>
      </w:r>
      <w:r>
        <w:rPr>
          <w:rFonts w:hint="eastAsia" w:ascii="仿宋_GB2312" w:eastAsia="仿宋_GB2312"/>
          <w:szCs w:val="32"/>
        </w:rPr>
        <w:t>农业供给侧结构性改革不断推进。</w:t>
      </w:r>
      <w:r>
        <w:rPr>
          <w:rFonts w:hint="eastAsia" w:ascii="仿宋_GB2312" w:hAnsi="仿宋" w:eastAsia="仿宋_GB2312"/>
          <w:szCs w:val="32"/>
        </w:rPr>
        <w:t>全市粮食总产量稳定在2.2亿斤以上，耕地</w:t>
      </w:r>
      <w:r>
        <w:rPr>
          <w:rFonts w:hint="eastAsia" w:ascii="仿宋_GB2312" w:hAnsi="仿宋_GB2312" w:eastAsia="仿宋_GB2312" w:cs="仿宋_GB2312"/>
          <w:szCs w:val="32"/>
        </w:rPr>
        <w:t>保有量18万亩，基本形成蔬菜、甜香瓜、等特色农业产业，“兵山大</w:t>
      </w:r>
      <w:r>
        <w:rPr>
          <w:rFonts w:hint="eastAsia" w:ascii="仿宋_GB2312" w:eastAsia="仿宋_GB2312"/>
          <w:szCs w:val="32"/>
        </w:rPr>
        <w:t>米”“小王子食品”“宏大肉禽”三大农业品牌影响力初见成效。</w:t>
      </w:r>
      <w:r>
        <w:rPr>
          <w:rFonts w:hint="eastAsia" w:ascii="仿宋_GB2312" w:hAnsi="仿宋" w:eastAsia="仿宋_GB2312"/>
          <w:b/>
          <w:bCs/>
          <w:szCs w:val="32"/>
        </w:rPr>
        <w:t>工业转型升级取得进展。</w:t>
      </w:r>
      <w:r>
        <w:rPr>
          <w:rFonts w:hint="eastAsia" w:ascii="仿宋_GB2312" w:hAnsi="楷体" w:eastAsia="仿宋_GB2312"/>
          <w:szCs w:val="32"/>
        </w:rPr>
        <w:t>基本形成新能源、特色装备制造、农产品深加工三大主导产业。</w:t>
      </w:r>
      <w:r>
        <w:rPr>
          <w:rFonts w:hint="eastAsia" w:ascii="仿宋_GB2312" w:hAnsi="仿宋" w:eastAsia="仿宋_GB2312"/>
          <w:bCs/>
          <w:szCs w:val="32"/>
        </w:rPr>
        <w:t>引进了国投生物能源（铁岭）有限公司、辽宁尚威医疗用品有限公司等一批新项目</w:t>
      </w:r>
      <w:r>
        <w:rPr>
          <w:rFonts w:hint="eastAsia" w:ascii="仿宋_GB2312" w:hAnsi="仿宋_GB2312" w:eastAsia="仿宋_GB2312"/>
          <w:szCs w:val="32"/>
        </w:rPr>
        <w:t>。</w:t>
      </w:r>
      <w:r>
        <w:rPr>
          <w:rFonts w:hint="eastAsia" w:ascii="仿宋_GB2312" w:hAnsi="仿宋_GB2312" w:eastAsia="仿宋_GB2312" w:cs="仿宋_GB2312"/>
          <w:szCs w:val="32"/>
        </w:rPr>
        <w:t>预计2020年末</w:t>
      </w:r>
      <w:r>
        <w:rPr>
          <w:rFonts w:hint="eastAsia" w:ascii="仿宋_GB2312" w:eastAsia="仿宋_GB2312"/>
        </w:rPr>
        <w:t>，全市认定国家高新技术企业累计达到14家，比2015年新增8家，</w:t>
      </w:r>
      <w:r>
        <w:rPr>
          <w:rFonts w:hint="eastAsia" w:ascii="仿宋_GB2312" w:hAnsi="仿宋_GB2312" w:eastAsia="仿宋_GB2312" w:cs="仿宋_GB2312"/>
          <w:szCs w:val="32"/>
        </w:rPr>
        <w:t>全市高新技术产品产值和增加值的增速均达到20%以上。</w:t>
      </w:r>
      <w:r>
        <w:rPr>
          <w:rFonts w:hint="eastAsia" w:ascii="仿宋_GB2312" w:hAnsi="仿宋" w:eastAsia="仿宋_GB2312"/>
          <w:b/>
          <w:kern w:val="0"/>
          <w:szCs w:val="44"/>
        </w:rPr>
        <w:t>服务业集聚区建设取得成效。</w:t>
      </w:r>
      <w:r>
        <w:rPr>
          <w:rFonts w:hint="eastAsia" w:ascii="仿宋_GB2312" w:hAnsi="仿宋" w:eastAsia="仿宋_GB2312"/>
          <w:bCs/>
          <w:szCs w:val="32"/>
        </w:rPr>
        <w:t>双燕旗舰卖场、竹溪源温泉、龙兴水上乐园等大型服务业健康发展，衣世界大型服装批发城项目正式运营</w:t>
      </w:r>
      <w:r>
        <w:rPr>
          <w:rFonts w:hint="eastAsia" w:ascii="仿宋_GB2312" w:hAnsi="仿宋" w:eastAsia="仿宋_GB2312"/>
          <w:kern w:val="0"/>
          <w:szCs w:val="44"/>
        </w:rPr>
        <w:t>。现代物流体系建设稳步推进。</w:t>
      </w:r>
      <w:r>
        <w:rPr>
          <w:rFonts w:hint="eastAsia" w:ascii="仿宋_GB2312" w:eastAsia="仿宋_GB2312"/>
          <w:b/>
          <w:szCs w:val="32"/>
        </w:rPr>
        <w:t>全域旅游发展基础夯实。</w:t>
      </w:r>
      <w:r>
        <w:rPr>
          <w:rFonts w:hint="eastAsia" w:ascii="仿宋_GB2312" w:hAnsi="宋体" w:eastAsia="仿宋_GB2312" w:cs="宋体"/>
          <w:szCs w:val="32"/>
        </w:rPr>
        <w:t>旅游基础设施建设不断加强，形成以辽金文化为魂，以温泉度假区、蒸汽机车博览园、明月禅寺等景点为核的旅游新格局。</w:t>
      </w:r>
      <w:r>
        <w:rPr>
          <w:rFonts w:hint="eastAsia" w:ascii="仿宋_GB2312" w:hAnsi="仿宋" w:eastAsia="仿宋_GB2312"/>
          <w:bCs/>
          <w:szCs w:val="32"/>
        </w:rPr>
        <w:t>成功举办5届国际蒸汽机车旅游推广季活动和6届</w:t>
      </w:r>
      <w:r>
        <w:rPr>
          <w:rFonts w:ascii="仿宋_GB2312" w:hAnsi="仿宋" w:eastAsia="仿宋_GB2312"/>
          <w:bCs/>
          <w:szCs w:val="32"/>
        </w:rPr>
        <w:t>WBA</w:t>
      </w:r>
      <w:r>
        <w:rPr>
          <w:rFonts w:hint="eastAsia" w:ascii="仿宋_GB2312" w:hAnsi="仿宋" w:eastAsia="仿宋_GB2312"/>
          <w:bCs/>
          <w:szCs w:val="32"/>
        </w:rPr>
        <w:t>亚洲拳王争霸赛。“十三五”期间吸引百余部影视作品在我市取景拍摄。</w:t>
      </w:r>
    </w:p>
    <w:p>
      <w:pPr>
        <w:spacing w:line="600" w:lineRule="exact"/>
        <w:ind w:firstLine="643"/>
        <w:rPr>
          <w:rFonts w:ascii="仿宋_GB2312" w:hAnsi="仿宋_GB2312" w:eastAsia="仿宋_GB2312" w:cs="仿宋_GB2312"/>
          <w:szCs w:val="32"/>
        </w:rPr>
      </w:pPr>
      <w:r>
        <w:rPr>
          <w:rFonts w:hint="eastAsia" w:ascii="仿宋_GB2312" w:eastAsia="仿宋_GB2312"/>
          <w:b/>
          <w:szCs w:val="32"/>
        </w:rPr>
        <w:t>科技创新汇聚动能。</w:t>
      </w:r>
      <w:r>
        <w:rPr>
          <w:rFonts w:hint="eastAsia" w:ascii="仿宋_GB2312" w:eastAsia="仿宋_GB2312"/>
          <w:szCs w:val="32"/>
        </w:rPr>
        <w:t>“十三五”期末，认定国家高新技术企业达到14家，比“十二五”期末新增8家。全市高新技术产品产值和增加值增速均达到20%以上，在铁岭市各县（市）区中居首。</w:t>
      </w:r>
      <w:r>
        <w:rPr>
          <w:rFonts w:hint="eastAsia" w:ascii="仿宋_GB2312" w:hAnsi="仿宋_GB2312" w:eastAsia="仿宋_GB2312" w:cs="仿宋_GB2312"/>
          <w:szCs w:val="32"/>
        </w:rPr>
        <w:t>建立铁岭市级企业研发中心12家，省级企业技术中心、工程技术中心和技术创新中心各1家,建成2个市级科技公共服务平台，转化科技成果25项，产学研签订科技合作项目25项。</w:t>
      </w:r>
    </w:p>
    <w:p>
      <w:pPr>
        <w:spacing w:line="600" w:lineRule="exact"/>
        <w:ind w:firstLine="643"/>
        <w:rPr>
          <w:rFonts w:ascii="仿宋_GB2312" w:hAnsi="仿宋" w:eastAsia="仿宋_GB2312"/>
          <w:bCs/>
          <w:szCs w:val="32"/>
        </w:rPr>
      </w:pPr>
      <w:r>
        <w:rPr>
          <w:rFonts w:hint="eastAsia" w:ascii="仿宋_GB2312" w:hAnsi="仿宋" w:eastAsia="仿宋_GB2312"/>
          <w:b/>
          <w:szCs w:val="32"/>
        </w:rPr>
        <w:t>营商环境不断优化。</w:t>
      </w:r>
      <w:r>
        <w:rPr>
          <w:rFonts w:hint="eastAsia" w:ascii="仿宋_GB2312" w:hAnsi="仿宋_GB2312" w:eastAsia="仿宋_GB2312" w:cs="仿宋_GB2312"/>
          <w:bCs/>
          <w:szCs w:val="32"/>
        </w:rPr>
        <w:t>制定《调兵山市第二批“办事难”问题专项整治工作方案》和《调兵山市整治营商环境建设突出问题工作方案》，辽宁省营商环境建设局确定调兵山市为政务服务驿站建设省级试点，为全省提供可复制可推广的经验和模式。</w:t>
      </w:r>
      <w:r>
        <w:rPr>
          <w:rFonts w:ascii="仿宋_GB2312" w:hAnsi="Times New Roman" w:eastAsia="仿宋_GB2312" w:cs="Times New Roman"/>
          <w:bCs/>
          <w:szCs w:val="32"/>
        </w:rPr>
        <w:t>营商环境宣传</w:t>
      </w:r>
      <w:r>
        <w:rPr>
          <w:rFonts w:hint="eastAsia" w:ascii="仿宋_GB2312" w:hAnsi="Times New Roman" w:eastAsia="仿宋_GB2312" w:cs="Times New Roman"/>
          <w:bCs/>
          <w:szCs w:val="32"/>
        </w:rPr>
        <w:t>工作不断</w:t>
      </w:r>
      <w:r>
        <w:rPr>
          <w:rFonts w:ascii="仿宋_GB2312" w:hAnsi="Times New Roman" w:eastAsia="仿宋_GB2312" w:cs="Times New Roman"/>
          <w:bCs/>
          <w:szCs w:val="32"/>
        </w:rPr>
        <w:t>强化</w:t>
      </w:r>
      <w:r>
        <w:rPr>
          <w:rFonts w:hint="eastAsia" w:ascii="仿宋_GB2312" w:hAnsi="Times New Roman" w:eastAsia="仿宋_GB2312" w:cs="Times New Roman"/>
          <w:bCs/>
          <w:szCs w:val="32"/>
        </w:rPr>
        <w:t>，</w:t>
      </w:r>
      <w:r>
        <w:rPr>
          <w:rFonts w:ascii="仿宋_GB2312" w:hAnsi="Times New Roman" w:eastAsia="仿宋_GB2312" w:cs="Times New Roman"/>
          <w:bCs/>
          <w:szCs w:val="32"/>
        </w:rPr>
        <w:t>政务服务效能</w:t>
      </w:r>
      <w:r>
        <w:rPr>
          <w:rFonts w:hint="eastAsia" w:ascii="仿宋_GB2312" w:hAnsi="Times New Roman" w:eastAsia="仿宋_GB2312" w:cs="Times New Roman"/>
          <w:bCs/>
          <w:szCs w:val="32"/>
        </w:rPr>
        <w:t>进一步</w:t>
      </w:r>
      <w:r>
        <w:rPr>
          <w:rFonts w:ascii="仿宋_GB2312" w:hAnsi="Times New Roman" w:eastAsia="仿宋_GB2312" w:cs="Times New Roman"/>
          <w:bCs/>
          <w:szCs w:val="32"/>
        </w:rPr>
        <w:t>提升</w:t>
      </w:r>
      <w:r>
        <w:rPr>
          <w:rFonts w:hint="eastAsia" w:ascii="仿宋_GB2312" w:hAnsi="Times New Roman" w:eastAsia="仿宋_GB2312" w:cs="Times New Roman"/>
          <w:bCs/>
          <w:szCs w:val="32"/>
        </w:rPr>
        <w:t>，</w:t>
      </w:r>
      <w:r>
        <w:rPr>
          <w:rFonts w:hint="eastAsia" w:ascii="仿宋_GB2312" w:eastAsia="仿宋_GB2312"/>
          <w:szCs w:val="32"/>
        </w:rPr>
        <w:t>办事人“最多跑一次”便民服务体系基本实现。</w:t>
      </w:r>
    </w:p>
    <w:p>
      <w:pPr>
        <w:tabs>
          <w:tab w:val="left" w:pos="0"/>
        </w:tabs>
        <w:spacing w:line="600" w:lineRule="exact"/>
        <w:ind w:firstLine="643"/>
        <w:rPr>
          <w:rFonts w:ascii="仿宋_GB2312" w:hAnsi="Times New Roman" w:eastAsia="仿宋_GB2312" w:cs="Times New Roman"/>
          <w:bCs/>
          <w:szCs w:val="32"/>
        </w:rPr>
      </w:pPr>
      <w:r>
        <w:rPr>
          <w:rFonts w:hint="eastAsia" w:ascii="仿宋_GB2312" w:hAnsi="仿宋_GB2312" w:eastAsia="仿宋_GB2312"/>
          <w:b/>
        </w:rPr>
        <w:t>经济开发区转型升级全面推进。</w:t>
      </w:r>
      <w:r>
        <w:rPr>
          <w:rFonts w:hint="eastAsia" w:ascii="仿宋_GB2312" w:hAnsi="仿宋_GB2312" w:eastAsia="仿宋_GB2312" w:cs="仿宋_GB2312"/>
          <w:bCs/>
        </w:rPr>
        <w:t>招商引资成果丰硕， “十三五”期间，</w:t>
      </w:r>
      <w:r>
        <w:rPr>
          <w:rFonts w:hint="eastAsia" w:ascii="仿宋_GB2312" w:hAnsi="仿宋_GB2312" w:eastAsia="仿宋_GB2312" w:cs="仿宋_GB2312"/>
        </w:rPr>
        <w:t>共引进项目37个，总投资额64亿元，其中亿元以上项目10个，占总投资额的86%；共盘活闲置项目28个，1058亩土地、21万平方米厂房实现再利用。载体建设不断强化，累计投入3.4亿元进行基础设施建设，建成区面积发展达6.08平方公里。“管委会+公司”模式初步建立。</w:t>
      </w:r>
    </w:p>
    <w:p>
      <w:pPr>
        <w:autoSpaceDE w:val="0"/>
        <w:spacing w:line="600" w:lineRule="exact"/>
        <w:ind w:firstLine="643"/>
        <w:rPr>
          <w:rFonts w:ascii="仿宋_GB2312" w:hAnsi="仿宋_GB2312" w:eastAsia="仿宋_GB2312" w:cs="仿宋_GB2312"/>
        </w:rPr>
      </w:pPr>
      <w:r>
        <w:rPr>
          <w:rFonts w:hint="eastAsia" w:ascii="仿宋_GB2312" w:hAnsi="仿宋_GB2312" w:eastAsia="仿宋_GB2312"/>
          <w:b/>
        </w:rPr>
        <w:t>城乡基础设施更加完善。</w:t>
      </w:r>
      <w:r>
        <w:rPr>
          <w:rFonts w:hint="eastAsia" w:ascii="仿宋_GB2312" w:hAnsi="仿宋_GB2312" w:eastAsia="仿宋_GB2312" w:cs="仿宋_GB2312"/>
        </w:rPr>
        <w:t>完成铁煤集团“二供一业”移交改造，完成老旧小区改造8个、完成棚户区改造</w:t>
      </w:r>
      <w:r>
        <w:rPr>
          <w:rFonts w:hint="eastAsia" w:ascii="仿宋_GB2312" w:hAnsi="仿宋_GB2312" w:eastAsia="仿宋_GB2312" w:cs="仿宋_GB2312"/>
          <w:color w:val="000000" w:themeColor="text1"/>
        </w:rPr>
        <w:t>380</w:t>
      </w:r>
      <w:r>
        <w:rPr>
          <w:rFonts w:hint="eastAsia" w:ascii="仿宋_GB2312" w:hAnsi="仿宋_GB2312" w:eastAsia="仿宋_GB2312" w:cs="仿宋_GB2312"/>
        </w:rPr>
        <w:t>户，房地产去库存取得进展。城南给水、污水管线工程已全部竣工。完成古城街道路罩面步道砖维修、大庙广场道路罩面雨水排水、调隆路大修、迎宾路中修等城市道路维修改造工程。沈康高速连接线调兵山段已完成桥涵、路基、路面、防护工程，法库段完成跨线桥基础及梁工程。异地集中连片安置区道路连接线新建道路1196米。</w:t>
      </w:r>
    </w:p>
    <w:p>
      <w:pPr>
        <w:autoSpaceDE w:val="0"/>
        <w:spacing w:line="600" w:lineRule="exact"/>
        <w:ind w:firstLine="643"/>
      </w:pPr>
      <w:r>
        <w:rPr>
          <w:rFonts w:hint="eastAsia" w:ascii="仿宋_GB2312" w:hAnsi="仿宋_GB2312" w:eastAsia="仿宋_GB2312" w:cs="仿宋_GB2312"/>
          <w:b/>
          <w:bCs/>
          <w:szCs w:val="32"/>
          <w:shd w:val="clear" w:color="auto" w:fill="FFFFFF"/>
        </w:rPr>
        <w:t>生态环境持续优化。</w:t>
      </w:r>
      <w:r>
        <w:rPr>
          <w:rFonts w:hint="eastAsia" w:ascii="仿宋_GB2312" w:hAnsi="仿宋" w:eastAsia="仿宋_GB2312" w:cs="仿宋"/>
          <w:bCs/>
          <w:szCs w:val="32"/>
        </w:rPr>
        <w:t>森林积蓄量达到17.45万立方米，城镇人均公园绿地面积达到8.52平方米，空气质量优良天数比率达到79 %。污染源日常监管不断加强，整治燃煤小锅炉，取缔黄标车工作进展顺利，</w:t>
      </w:r>
      <w:r>
        <w:rPr>
          <w:rFonts w:hint="eastAsia" w:ascii="仿宋_GB2312" w:eastAsia="仿宋_GB2312" w:cs="仿宋_GB2312"/>
          <w:szCs w:val="32"/>
        </w:rPr>
        <w:t>建成6座村级污水处理站，2个行政村实现垃圾分类收集处理，开展全覆盖拉网式农村环境综合整治。</w:t>
      </w:r>
      <w:r>
        <w:rPr>
          <w:rFonts w:hint="eastAsia" w:ascii="仿宋_GB2312" w:hAnsi="仿宋_GB2312" w:eastAsia="仿宋_GB2312" w:cs="仿宋_GB2312"/>
          <w:szCs w:val="32"/>
        </w:rPr>
        <w:t>全面开展秸秆禁烧管控，秸秆综合利用经验在全市全面推广。</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bCs/>
          <w:szCs w:val="32"/>
          <w:shd w:val="clear" w:color="auto" w:fill="FFFFFF"/>
        </w:rPr>
        <w:t>民生福祉不断增进。</w:t>
      </w:r>
      <w:r>
        <w:rPr>
          <w:rFonts w:hint="eastAsia" w:ascii="仿宋_GB2312" w:hAnsi="仿宋_GB2312" w:eastAsia="仿宋_GB2312" w:cs="仿宋_GB2312"/>
          <w:szCs w:val="32"/>
        </w:rPr>
        <w:t>切实增加城乡居民收入，城乡常住居民人均可支配收入分别增长7%左右；</w:t>
      </w:r>
      <w:r>
        <w:rPr>
          <w:rFonts w:hint="eastAsia" w:ascii="仿宋_GB2312" w:hAnsi="仿宋_GB2312" w:eastAsia="仿宋_GB2312" w:cs="仿宋_GB2312"/>
          <w:bCs/>
          <w:szCs w:val="32"/>
        </w:rPr>
        <w:t>城乡低保保障标准</w:t>
      </w:r>
      <w:r>
        <w:rPr>
          <w:rFonts w:hint="eastAsia" w:ascii="仿宋_GB2312" w:hAnsi="仿宋_GB2312" w:eastAsia="仿宋_GB2312" w:cs="仿宋_GB2312"/>
          <w:szCs w:val="32"/>
        </w:rPr>
        <w:t>提高到594元；农村低保保障标准提高到4838元。养老服务体系不断完善。初步建成以居家养老为基础、社区为依托、民办养老机构为补充、公办养老机构兜底、医养有机结合的多层次社会化养老服务体系。教育投入力度不断加大，公共教育经费支出占地区生产总值6%以上。</w:t>
      </w:r>
    </w:p>
    <w:p>
      <w:pPr>
        <w:pStyle w:val="4"/>
        <w:spacing w:before="0" w:after="0" w:line="600" w:lineRule="exact"/>
        <w:rPr>
          <w:rFonts w:ascii="楷体" w:hAnsi="楷体" w:eastAsia="楷体" w:cs="Times New Roman"/>
          <w:bCs w:val="0"/>
        </w:rPr>
      </w:pPr>
      <w:bookmarkStart w:id="21" w:name="_Toc58853073"/>
      <w:r>
        <w:rPr>
          <w:rFonts w:hint="eastAsia" w:ascii="楷体_GB2312" w:hAnsi="楷体_GB2312" w:eastAsia="楷体_GB2312" w:cs="楷体_GB2312"/>
          <w:bCs w:val="0"/>
        </w:rPr>
        <w:t>第二节 发展特征</w:t>
      </w:r>
      <w:bookmarkEnd w:id="17"/>
      <w:bookmarkEnd w:id="18"/>
      <w:bookmarkEnd w:id="19"/>
      <w:bookmarkEnd w:id="20"/>
      <w:bookmarkEnd w:id="21"/>
    </w:p>
    <w:p>
      <w:pPr>
        <w:spacing w:line="600" w:lineRule="exact"/>
        <w:ind w:firstLine="640"/>
        <w:rPr>
          <w:rFonts w:ascii="仿宋_GB2312" w:hAnsi="仿宋_GB2312" w:eastAsia="仿宋_GB2312" w:cs="仿宋_GB2312"/>
          <w:szCs w:val="32"/>
        </w:rPr>
      </w:pPr>
      <w:r>
        <w:rPr>
          <w:rFonts w:hint="eastAsia" w:ascii="仿宋_GB2312" w:hAnsi="仿宋_GB2312" w:eastAsia="仿宋_GB2312" w:cs="仿宋_GB2312"/>
          <w:szCs w:val="32"/>
        </w:rPr>
        <w:t>“十四五”时期，调兵山经济社会发展处于工业化中期向后期过渡阶段。这一阶段经济增长从主要依靠工业带动转为工业和服务业共同带动，从主要依靠投资拉动转为消费和投资一起拉动。</w:t>
      </w:r>
    </w:p>
    <w:p>
      <w:pPr>
        <w:spacing w:line="600" w:lineRule="exact"/>
        <w:ind w:firstLine="643"/>
        <w:rPr>
          <w:rFonts w:ascii="仿宋_GB2312" w:hAnsi="仿宋_GB2312" w:eastAsia="仿宋_GB2312" w:cs="仿宋_GB2312"/>
          <w:b/>
        </w:rPr>
      </w:pPr>
      <w:bookmarkStart w:id="22" w:name="_Toc454958033"/>
      <w:bookmarkStart w:id="23" w:name="_Toc453324331"/>
      <w:r>
        <w:rPr>
          <w:rFonts w:hint="eastAsia" w:ascii="仿宋_GB2312" w:hAnsi="仿宋_GB2312" w:eastAsia="仿宋_GB2312" w:cs="仿宋_GB2312"/>
          <w:b/>
        </w:rPr>
        <w:t>人口城镇化水平较高</w:t>
      </w:r>
      <w:bookmarkEnd w:id="22"/>
      <w:bookmarkEnd w:id="23"/>
      <w:r>
        <w:rPr>
          <w:rFonts w:hint="eastAsia" w:ascii="仿宋_GB2312" w:hAnsi="仿宋_GB2312" w:eastAsia="仿宋_GB2312" w:cs="仿宋_GB2312"/>
          <w:b/>
        </w:rPr>
        <w:t>。</w:t>
      </w:r>
      <w:r>
        <w:rPr>
          <w:rFonts w:hint="eastAsia" w:ascii="仿宋_GB2312" w:hAnsi="仿宋_GB2312" w:eastAsia="仿宋_GB2312" w:cs="仿宋_GB2312"/>
        </w:rPr>
        <w:t>全市城镇化率达到86.9%，在铁岭市位列第一。随着城市建成区规模扩大，新型城镇化建设推进，公共服务设施、环境卫生设施、市政公用设施及产业培育设施与城市高质量发展需求尚有差距，补齐新型城镇化建设短板，提高城镇化质量是“十四五”时期的首要任务。</w:t>
      </w:r>
    </w:p>
    <w:p>
      <w:pPr>
        <w:spacing w:line="600" w:lineRule="exact"/>
        <w:ind w:firstLine="643"/>
        <w:rPr>
          <w:rFonts w:ascii="仿宋_GB2312" w:hAnsi="仿宋_GB2312" w:eastAsia="仿宋_GB2312" w:cs="仿宋_GB2312"/>
        </w:rPr>
      </w:pPr>
      <w:bookmarkStart w:id="24" w:name="_Toc454958034"/>
      <w:r>
        <w:rPr>
          <w:rFonts w:hint="eastAsia" w:ascii="仿宋_GB2312" w:hAnsi="仿宋_GB2312" w:eastAsia="仿宋_GB2312" w:cs="仿宋_GB2312"/>
          <w:b/>
        </w:rPr>
        <w:t>资源</w:t>
      </w:r>
      <w:bookmarkEnd w:id="24"/>
      <w:r>
        <w:rPr>
          <w:rFonts w:hint="eastAsia" w:ascii="仿宋_GB2312" w:hAnsi="仿宋_GB2312" w:eastAsia="仿宋_GB2312" w:cs="仿宋_GB2312"/>
          <w:b/>
        </w:rPr>
        <w:t>型产业特征显著。</w:t>
      </w:r>
      <w:r>
        <w:rPr>
          <w:rFonts w:hint="eastAsia" w:ascii="仿宋_GB2312" w:hAnsi="仿宋_GB2312" w:eastAsia="仿宋_GB2312" w:cs="仿宋_GB2312"/>
        </w:rPr>
        <w:t>调兵山被列入《全国资源型城市可持续发展规划（2013-2020年）》中成熟型资源型城市，当前，煤资源开采仍可存续至少25年，资源产业“一煤独大”局面没有得到根本性转变，铁法能源及相关产业工业增加值占GDP达70%，第三产业发展相对滞后。提升产业技术水平，延伸产业链，推进结构升级，发展接续替代产业，建立现代产业新体系，是“十四五”时期产业发展的重中之重。</w:t>
      </w:r>
      <w:bookmarkStart w:id="25" w:name="_Toc454958037"/>
    </w:p>
    <w:p>
      <w:pPr>
        <w:spacing w:line="600" w:lineRule="exact"/>
        <w:ind w:firstLine="643"/>
        <w:rPr>
          <w:rFonts w:ascii="仿宋_GB2312" w:hAnsi="仿宋_GB2312" w:eastAsia="仿宋_GB2312" w:cs="仿宋_GB2312"/>
        </w:rPr>
      </w:pPr>
      <w:r>
        <w:rPr>
          <w:rFonts w:hint="eastAsia" w:ascii="仿宋_GB2312" w:hAnsi="仿宋_GB2312" w:eastAsia="仿宋_GB2312" w:cs="仿宋_GB2312"/>
          <w:b/>
        </w:rPr>
        <w:t>生态环境治理</w:t>
      </w:r>
      <w:bookmarkEnd w:id="25"/>
      <w:r>
        <w:rPr>
          <w:rFonts w:hint="eastAsia" w:ascii="仿宋_GB2312" w:hAnsi="仿宋_GB2312" w:eastAsia="仿宋_GB2312" w:cs="仿宋_GB2312"/>
          <w:b/>
        </w:rPr>
        <w:t>任务紧迫。</w:t>
      </w:r>
      <w:r>
        <w:rPr>
          <w:rFonts w:hint="eastAsia" w:ascii="仿宋_GB2312" w:hAnsi="仿宋_GB2312" w:eastAsia="仿宋_GB2312" w:cs="仿宋_GB2312"/>
        </w:rPr>
        <w:t>采煤沉陷区治理是调兵山面临的长期问题。脆弱的生态承载能力已经成为其长期发展的严重制约。受长期超强度开采影响，全市地表沉陷严重，34个村中有23个村压煤，其中20个村地表已严重变形和塌陷，形成≥1m的沉陷区面积6145公顷，并以每年260公顷的速度递增。采空区沉陷综合治理任务繁重且难以短期全部完成，需要巨大投入。</w:t>
      </w:r>
    </w:p>
    <w:p>
      <w:pPr>
        <w:spacing w:line="600" w:lineRule="exact"/>
        <w:ind w:firstLine="643"/>
        <w:jc w:val="left"/>
        <w:rPr>
          <w:rFonts w:ascii="仿宋_GB2312" w:hAnsi="仿宋_GB2312" w:eastAsia="仿宋_GB2312" w:cs="仿宋_GB2312"/>
        </w:rPr>
      </w:pPr>
      <w:bookmarkStart w:id="26" w:name="_Toc454958035"/>
      <w:r>
        <w:rPr>
          <w:rFonts w:hint="eastAsia" w:ascii="仿宋_GB2312" w:hAnsi="仿宋_GB2312" w:eastAsia="仿宋_GB2312" w:cs="仿宋_GB2312"/>
          <w:b/>
        </w:rPr>
        <w:t>发展新动能亟待构建。</w:t>
      </w:r>
      <w:bookmarkEnd w:id="26"/>
      <w:r>
        <w:rPr>
          <w:rFonts w:hint="eastAsia" w:ascii="仿宋_GB2312" w:hAnsi="仿宋_GB2312" w:eastAsia="仿宋_GB2312" w:cs="仿宋_GB2312"/>
        </w:rPr>
        <w:t>调兵山从要素驱动、投资驱动转向创新驱动缺乏支撑，新旧动能转换缺乏创新资源、创新人才以及创新创业文化和氛围。从人口要素来看，我市人口数不断下降，人口自然增长率长期负增长，主要劳动年龄人口大量外流。从土地要素来看，城市化进程加快推进，建设用地趋于紧张。从资本要素来看，资本支撑实体经济发展更为迫切。从全要素生产率来看，制度创新、技术进步仍是制约全要素生产率提升的瓶颈。优化营商环境、深化改革创新、培育内生发展动力仍然任重道远。</w:t>
      </w:r>
    </w:p>
    <w:p>
      <w:pPr>
        <w:spacing w:line="600" w:lineRule="exact"/>
        <w:ind w:firstLine="640"/>
        <w:jc w:val="left"/>
        <w:rPr>
          <w:rFonts w:ascii="仿宋_GB2312" w:hAnsi="仿宋_GB2312" w:eastAsia="仿宋_GB2312" w:cs="仿宋_GB2312"/>
        </w:rPr>
      </w:pPr>
      <w:r>
        <w:rPr>
          <w:rFonts w:hint="eastAsia" w:ascii="仿宋_GB2312" w:hAnsi="仿宋_GB2312" w:eastAsia="仿宋_GB2312" w:cs="仿宋_GB2312"/>
        </w:rPr>
        <w:t>过去五年，我市经济社会发展取得了一定成就，但较省内先进县（市）仍有较大差距，整体处于全省41个县（市）中游水平，与国内发达地区比较，差距还有进一步扩大的趋势。县域经济发展存在资源型产业结构单一、服务业发展滞后、文旅资源较好但文旅产业发展滞后、道路及城市建设基础设施老化、人口流失与老龄化问题严峻、城市核心竞争力不强、地企关系仍需进一步理顺、内联外通开放大格局尚未形成，新型城镇化基础设施短板弱项多、财力弱等突出问题。</w:t>
      </w:r>
    </w:p>
    <w:p>
      <w:pPr>
        <w:spacing w:line="600" w:lineRule="exact"/>
        <w:ind w:firstLine="640"/>
        <w:jc w:val="left"/>
        <w:rPr>
          <w:rFonts w:ascii="仿宋_GB2312" w:hAnsi="仿宋_GB2312" w:eastAsia="仿宋_GB2312" w:cs="仿宋_GB2312"/>
        </w:rPr>
      </w:pPr>
      <w:r>
        <w:rPr>
          <w:rFonts w:hint="eastAsia" w:ascii="仿宋_GB2312" w:hAnsi="仿宋_GB2312" w:eastAsia="仿宋_GB2312" w:cs="仿宋_GB2312"/>
          <w:kern w:val="0"/>
          <w:szCs w:val="32"/>
        </w:rPr>
        <w:t>当前，调兵山市以人为本的发展、创新驱动的发展、人与自然可持续的发展理念尚未完全贯穿到经济社会发展中。产业、城市和人的关系仍未理顺，亟待通过城市面貌提升、新动能培育塑造城市新气象，吸引城市新人群，培育壮大城市新产业，以城聚人、以城促产、以产兴城。城乡融合、产业融合、产城融合、地企融合、城市品质提升需要付出更多艰辛努力。</w:t>
      </w:r>
    </w:p>
    <w:p>
      <w:pPr>
        <w:pStyle w:val="4"/>
        <w:spacing w:before="0" w:after="0" w:line="600" w:lineRule="exact"/>
        <w:rPr>
          <w:rFonts w:ascii="楷体_GB2312" w:hAnsi="楷体_GB2312" w:eastAsia="楷体_GB2312" w:cs="楷体_GB2312"/>
          <w:bCs w:val="0"/>
        </w:rPr>
      </w:pPr>
      <w:bookmarkStart w:id="27" w:name="_Toc50889036"/>
      <w:bookmarkStart w:id="28" w:name="_Toc50889130"/>
      <w:bookmarkStart w:id="29" w:name="_Toc47623173"/>
      <w:bookmarkStart w:id="30" w:name="_Toc50886994"/>
      <w:bookmarkStart w:id="31" w:name="_Toc46077421"/>
      <w:bookmarkStart w:id="32" w:name="_Toc58853074"/>
      <w:r>
        <w:rPr>
          <w:rFonts w:hint="eastAsia" w:ascii="楷体_GB2312" w:hAnsi="楷体_GB2312" w:eastAsia="楷体_GB2312" w:cs="楷体_GB2312"/>
          <w:bCs w:val="0"/>
        </w:rPr>
        <w:t>第三节 发展</w:t>
      </w:r>
      <w:bookmarkEnd w:id="27"/>
      <w:bookmarkEnd w:id="28"/>
      <w:bookmarkEnd w:id="29"/>
      <w:bookmarkEnd w:id="30"/>
      <w:bookmarkEnd w:id="31"/>
      <w:r>
        <w:rPr>
          <w:rFonts w:hint="eastAsia" w:ascii="楷体_GB2312" w:hAnsi="楷体_GB2312" w:eastAsia="楷体_GB2312" w:cs="楷体_GB2312"/>
          <w:bCs w:val="0"/>
        </w:rPr>
        <w:t>机遇</w:t>
      </w:r>
      <w:bookmarkEnd w:id="32"/>
    </w:p>
    <w:p>
      <w:pPr>
        <w:spacing w:line="600" w:lineRule="exact"/>
        <w:ind w:firstLine="640"/>
        <w:rPr>
          <w:rFonts w:ascii="仿宋_GB2312" w:hAnsi="仿宋_GB2312" w:eastAsia="仿宋_GB2312" w:cs="仿宋_GB2312"/>
          <w:szCs w:val="32"/>
          <w:shd w:val="clear" w:color="auto" w:fill="FFFFFF"/>
        </w:rPr>
      </w:pPr>
      <w:bookmarkStart w:id="33" w:name="_Toc44865923"/>
      <w:bookmarkStart w:id="34" w:name="_Toc46077422"/>
      <w:r>
        <w:rPr>
          <w:rFonts w:hint="eastAsia" w:ascii="仿宋_GB2312" w:hAnsi="仿宋_GB2312" w:eastAsia="仿宋_GB2312" w:cs="仿宋_GB2312"/>
          <w:bCs/>
          <w:szCs w:val="32"/>
        </w:rPr>
        <w:t>“十四五”时期，我国发展仍然处于重要战略机遇期，社会主要矛盾发生变化，错综复杂的国际环境带来新矛盾新挑战。</w:t>
      </w:r>
      <w:r>
        <w:rPr>
          <w:rFonts w:hint="eastAsia" w:ascii="仿宋_GB2312" w:hAnsi="仿宋_GB2312" w:eastAsia="仿宋_GB2312" w:cs="仿宋_GB2312"/>
          <w:szCs w:val="32"/>
          <w:shd w:val="clear" w:color="auto" w:fill="FFFFFF"/>
        </w:rPr>
        <w:t>当前以及今后一段时期是调兵山全面推动资源型城市创新转型，开启基本实现社会主义现代化新征程的关键阶段。准确把握新阶段特征，有利于识变应变谋变，基于现时以谋划长远。</w:t>
      </w:r>
      <w:bookmarkEnd w:id="33"/>
      <w:bookmarkEnd w:id="34"/>
      <w:r>
        <w:rPr>
          <w:rFonts w:hint="eastAsia" w:ascii="仿宋_GB2312" w:hAnsi="仿宋_GB2312" w:eastAsia="仿宋_GB2312" w:cs="仿宋_GB2312"/>
        </w:rPr>
        <w:t>经过“十三五”时期的发展积淀，我市整体发展水平全面提升，内生动力明显增强，基础设施支撑作用和产业发展水平显著提高，重大项目乘数效应逐步释放。总体看，“十四五”时期，全市发展面临五大机遇：</w:t>
      </w:r>
    </w:p>
    <w:p>
      <w:pPr>
        <w:spacing w:line="600" w:lineRule="exact"/>
        <w:ind w:firstLine="643"/>
        <w:rPr>
          <w:rFonts w:ascii="仿宋_GB2312" w:hAnsi="仿宋_GB2312" w:eastAsia="仿宋_GB2312" w:cs="仿宋_GB2312"/>
          <w:szCs w:val="32"/>
          <w:shd w:val="clear" w:color="auto" w:fill="FFFFFF"/>
        </w:rPr>
      </w:pPr>
      <w:r>
        <w:rPr>
          <w:rFonts w:hint="eastAsia" w:ascii="仿宋_GB2312" w:hAnsi="仿宋_GB2312" w:eastAsia="仿宋_GB2312" w:cs="仿宋_GB2312"/>
          <w:b/>
          <w:szCs w:val="32"/>
        </w:rPr>
        <w:t>一是资源型城市转型发展在国家层面高度重视。</w:t>
      </w:r>
      <w:r>
        <w:rPr>
          <w:rFonts w:hint="eastAsia" w:ascii="仿宋_GB2312" w:hAnsi="仿宋_GB2312" w:eastAsia="仿宋_GB2312" w:cs="仿宋_GB2312"/>
          <w:szCs w:val="32"/>
          <w:lang w:eastAsia="zh-CN"/>
        </w:rPr>
        <w:t>习近平总书记</w:t>
      </w:r>
      <w:r>
        <w:rPr>
          <w:rFonts w:hint="eastAsia" w:ascii="仿宋_GB2312" w:hAnsi="仿宋_GB2312" w:eastAsia="仿宋_GB2312" w:cs="仿宋_GB2312"/>
          <w:szCs w:val="32"/>
        </w:rPr>
        <w:t>在抚顺西露天矿考察时强调，“资源枯竭型城市如何发展转型是一个大课题，要认真研究，不能急，要一步一步来。在找出路的过程中，首先要把民生保障好，特别是要保障最困难群体的生活”。国家支持资源型城市转型发展出台了矿山修复、采沉区治理、老旧小区改造等各项政策，省委、省政府对推进循环经济、节能减排、工业遗产保护与开发等高度重视，为调兵山争取上级资金支持提供了良好的发展环境。</w:t>
      </w:r>
    </w:p>
    <w:p>
      <w:pPr>
        <w:spacing w:line="600" w:lineRule="exact"/>
        <w:ind w:firstLine="643"/>
        <w:rPr>
          <w:rFonts w:ascii="仿宋_GB2312" w:hAnsi="仿宋_GB2312" w:eastAsia="仿宋_GB2312" w:cs="仿宋_GB2312"/>
          <w:szCs w:val="32"/>
          <w:shd w:val="clear" w:color="auto" w:fill="FFFFFF"/>
        </w:rPr>
      </w:pPr>
      <w:r>
        <w:rPr>
          <w:rFonts w:hint="eastAsia" w:ascii="仿宋_GB2312" w:hAnsi="仿宋_GB2312" w:eastAsia="仿宋_GB2312" w:cs="仿宋_GB2312"/>
          <w:b/>
          <w:szCs w:val="32"/>
        </w:rPr>
        <w:t>二是与铁法能源地企融合发展正处于“推进期”。</w:t>
      </w:r>
      <w:r>
        <w:rPr>
          <w:rFonts w:hint="eastAsia" w:ascii="仿宋_GB2312" w:hAnsi="仿宋_GB2312" w:eastAsia="仿宋_GB2312" w:cs="仿宋_GB2312"/>
          <w:szCs w:val="32"/>
        </w:rPr>
        <w:t>“十四五”时期，站在高质量发展与资源型城市转型的新起点上，产业转型、社会转型、生态转型、观念转型、服务转型等构成调兵山市创新驱动转型的关键。政府与铁法能源的地企联动和双轮驱动是成熟型资源型城市创新转型的关键，要结合服务铁法能源“创新转型”这个关键问题对调兵山市“十四五”规划作出战略判断。总体判断创新转型的时间点应到2035年，因此，“十四五”规划是创新转型战略规划的阶段性规划。</w:t>
      </w:r>
    </w:p>
    <w:p>
      <w:pPr>
        <w:autoSpaceDE w:val="0"/>
        <w:spacing w:line="600" w:lineRule="exact"/>
        <w:ind w:firstLine="643"/>
        <w:rPr>
          <w:rFonts w:ascii="仿宋_GB2312" w:hAnsi="仿宋_GB2312" w:eastAsia="仿宋_GB2312" w:cs="仿宋_GB2312"/>
        </w:rPr>
      </w:pPr>
      <w:r>
        <w:rPr>
          <w:rFonts w:hint="eastAsia" w:ascii="仿宋_GB2312" w:hAnsi="仿宋_GB2312" w:eastAsia="仿宋_GB2312" w:cs="仿宋_GB2312"/>
          <w:b/>
          <w:szCs w:val="32"/>
        </w:rPr>
        <w:t>三是借力“两新一重”提升城镇功能处于“关键期”。</w:t>
      </w:r>
      <w:r>
        <w:rPr>
          <w:rFonts w:hint="eastAsia" w:ascii="仿宋_GB2312" w:hAnsi="仿宋_GB2312" w:eastAsia="仿宋_GB2312" w:cs="仿宋_GB2312"/>
          <w:szCs w:val="32"/>
        </w:rPr>
        <w:t>虽然人口城市化率较高，但是城镇公共服务设施和基础设施仍然较为滞后，且众多服务设施资源仍掌握在铁法能源企业中，地企融合进程中，要积极协调各类公共服务资源。“十三五”末期，调兵山抓住“两新一重”建设机遇，利用专项债、一般债，争取国家专项资金补助超过8亿元，为未来长远发展奠定坚实基础。“十四五”时期，随着老旧小区改造等国家政策资金落地，中心城区城市更新进一步加快，城市面貌将显著改观。</w:t>
      </w:r>
    </w:p>
    <w:p>
      <w:pPr>
        <w:autoSpaceDE w:val="0"/>
        <w:spacing w:line="600" w:lineRule="exact"/>
        <w:ind w:firstLine="643"/>
        <w:rPr>
          <w:rFonts w:ascii="仿宋_GB2312" w:hAnsi="仿宋_GB2312" w:eastAsia="仿宋_GB2312" w:cs="仿宋_GB2312"/>
        </w:rPr>
      </w:pPr>
      <w:r>
        <w:rPr>
          <w:rFonts w:hint="eastAsia" w:ascii="仿宋_GB2312" w:hAnsi="仿宋_GB2312" w:eastAsia="仿宋_GB2312" w:cs="仿宋_GB2312"/>
          <w:b/>
          <w:szCs w:val="32"/>
        </w:rPr>
        <w:t>四是融入都市圈建设成为区域合作发展的大趋势。</w:t>
      </w:r>
      <w:r>
        <w:rPr>
          <w:rFonts w:hint="eastAsia" w:ascii="仿宋_GB2312" w:hAnsi="仿宋_GB2312" w:eastAsia="仿宋_GB2312" w:cs="仿宋_GB2312"/>
          <w:szCs w:val="32"/>
        </w:rPr>
        <w:t>沈阳都市圈是发挥沈阳区域中心城市甚至国家中心城市极化-扩散效应的重要载体。调兵山处于沈阳都市圈北缘，是沈铁经济带的重要组成部分，地处东北三省经济走廊重要节点，借助沈阳都市圈定位和功能布局，为打造沈阳都市圈北部卫星城带来发展机遇。</w:t>
      </w:r>
    </w:p>
    <w:p>
      <w:pPr>
        <w:autoSpaceDE w:val="0"/>
        <w:spacing w:line="600" w:lineRule="exact"/>
        <w:ind w:firstLine="643"/>
        <w:rPr>
          <w:rFonts w:ascii="仿宋_GB2312" w:hAnsi="仿宋" w:eastAsia="仿宋_GB2312" w:cs="仿宋"/>
          <w:szCs w:val="32"/>
        </w:rPr>
      </w:pPr>
      <w:r>
        <w:rPr>
          <w:rFonts w:hint="eastAsia" w:ascii="仿宋_GB2312" w:hAnsi="仿宋_GB2312" w:eastAsia="仿宋_GB2312" w:cs="仿宋_GB2312"/>
          <w:b/>
          <w:szCs w:val="32"/>
        </w:rPr>
        <w:t>五是生态治理与绿色发展迎来新契机。</w:t>
      </w:r>
      <w:r>
        <w:rPr>
          <w:rFonts w:hint="eastAsia" w:ascii="仿宋_GB2312" w:hAnsi="仿宋_GB2312" w:eastAsia="仿宋_GB2312" w:cs="仿宋_GB2312"/>
          <w:szCs w:val="32"/>
        </w:rPr>
        <w:t>抓住国家推进全面绿色发展契机，以辽河流域综合整治为切入点，以投资30亿元辽河流域综合（铁岭市段）整治项目为牵引，推动辽河一级支流王河、长沟河生态带绿色发展，进一步推进“产业生态化、生态产业化”，推动沿河流域城市景观、美丽乡村建设。依托国家支持绿色矿山、智慧矿山创建，全面推进矿区生态文明建设、进一步推进资源开发与生态环境协调发展。</w:t>
      </w:r>
    </w:p>
    <w:p>
      <w:pPr>
        <w:pStyle w:val="2"/>
        <w:ind w:firstLine="360"/>
      </w:pPr>
      <w:r>
        <w:br w:type="page"/>
      </w:r>
    </w:p>
    <w:p>
      <w:pPr>
        <w:pStyle w:val="3"/>
        <w:spacing w:before="0" w:after="0" w:line="360" w:lineRule="auto"/>
        <w:rPr>
          <w:rFonts w:ascii="黑体" w:hAnsi="黑体" w:cs="黑体"/>
          <w:b w:val="0"/>
          <w:bCs w:val="0"/>
          <w:sz w:val="32"/>
          <w:szCs w:val="32"/>
        </w:rPr>
      </w:pPr>
      <w:bookmarkStart w:id="35" w:name="_Toc50886995"/>
      <w:bookmarkStart w:id="36" w:name="_Toc50889131"/>
      <w:bookmarkStart w:id="37" w:name="_Toc50889037"/>
      <w:bookmarkStart w:id="38" w:name="_Toc58853075"/>
      <w:r>
        <w:rPr>
          <w:rFonts w:hint="eastAsia" w:ascii="黑体" w:hAnsi="黑体" w:cs="黑体"/>
          <w:b w:val="0"/>
          <w:bCs w:val="0"/>
          <w:sz w:val="32"/>
          <w:szCs w:val="32"/>
        </w:rPr>
        <w:t xml:space="preserve">第二章 </w:t>
      </w:r>
      <w:bookmarkEnd w:id="35"/>
      <w:bookmarkEnd w:id="36"/>
      <w:bookmarkEnd w:id="37"/>
      <w:r>
        <w:rPr>
          <w:rFonts w:hint="eastAsia" w:ascii="黑体" w:hAnsi="黑体" w:cs="黑体"/>
          <w:b w:val="0"/>
          <w:bCs w:val="0"/>
          <w:sz w:val="32"/>
          <w:szCs w:val="32"/>
        </w:rPr>
        <w:t>谋划调兵山高质量发展新思路</w:t>
      </w:r>
      <w:bookmarkEnd w:id="38"/>
    </w:p>
    <w:p>
      <w:pPr>
        <w:ind w:firstLine="640"/>
      </w:pPr>
      <w:r>
        <w:rPr>
          <w:rFonts w:hint="eastAsia" w:ascii="仿宋_GB2312" w:hAnsi="仿宋_GB2312" w:eastAsia="仿宋_GB2312" w:cs="仿宋_GB2312"/>
        </w:rPr>
        <w:t>准确把握调兵山市经济社会发展内外部环境发生的重大变化和新的任务要求，基于资源型城市创新转型发展的“立市之本”，谋划创新转型发展之策，居安思危，谋篇布局，为全面建设社会主义现代化新征程开好局。</w:t>
      </w:r>
    </w:p>
    <w:p>
      <w:pPr>
        <w:pStyle w:val="4"/>
        <w:spacing w:before="0" w:after="0" w:line="360" w:lineRule="auto"/>
        <w:rPr>
          <w:rFonts w:ascii="楷体_GB2312" w:hAnsi="楷体_GB2312" w:eastAsia="楷体_GB2312" w:cs="楷体_GB2312"/>
          <w:bCs w:val="0"/>
        </w:rPr>
      </w:pPr>
      <w:bookmarkStart w:id="39" w:name="_Toc50886996"/>
      <w:bookmarkStart w:id="40" w:name="_Toc50889132"/>
      <w:bookmarkStart w:id="41" w:name="_Toc50889038"/>
      <w:r>
        <w:rPr>
          <w:rFonts w:hint="eastAsia" w:ascii="楷体_GB2312" w:hAnsi="楷体_GB2312" w:eastAsia="楷体_GB2312" w:cs="楷体_GB2312"/>
        </w:rPr>
        <w:t xml:space="preserve">第一节 </w:t>
      </w:r>
      <w:r>
        <w:fldChar w:fldCharType="begin"/>
      </w:r>
      <w:r>
        <w:instrText xml:space="preserve"> HYPERLINK \l "_Toc47623175" </w:instrText>
      </w:r>
      <w:r>
        <w:fldChar w:fldCharType="separate"/>
      </w:r>
      <w:bookmarkStart w:id="42" w:name="_Toc58853076"/>
      <w:r>
        <w:rPr>
          <w:rFonts w:hint="eastAsia" w:ascii="楷体_GB2312" w:hAnsi="楷体_GB2312" w:eastAsia="楷体_GB2312" w:cs="楷体_GB2312"/>
          <w:bCs w:val="0"/>
        </w:rPr>
        <w:t>指导思想</w:t>
      </w:r>
      <w:bookmarkEnd w:id="39"/>
      <w:bookmarkEnd w:id="40"/>
      <w:bookmarkEnd w:id="41"/>
      <w:bookmarkEnd w:id="42"/>
      <w:r>
        <w:rPr>
          <w:rFonts w:hint="eastAsia" w:ascii="楷体_GB2312" w:hAnsi="楷体_GB2312" w:eastAsia="楷体_GB2312" w:cs="楷体_GB2312"/>
          <w:bCs w:val="0"/>
        </w:rPr>
        <w:fldChar w:fldCharType="end"/>
      </w:r>
    </w:p>
    <w:p>
      <w:pPr>
        <w:ind w:firstLine="640"/>
        <w:rPr>
          <w:rFonts w:ascii="仿宋_GB2312" w:hAnsi="仿宋_GB2312" w:eastAsia="仿宋_GB2312" w:cs="仿宋_GB2312"/>
        </w:rPr>
      </w:pPr>
      <w:r>
        <w:rPr>
          <w:rFonts w:hint="eastAsia" w:ascii="仿宋_GB2312" w:hAnsi="仿宋_GB2312" w:eastAsia="仿宋_GB2312" w:cs="仿宋_GB2312"/>
          <w:szCs w:val="32"/>
        </w:rPr>
        <w:t>以习近平新时代中国特色社会主义思想为指导，全面贯彻党的十九大和十九届二中、三中、四中、五中全会精神，统筹推进“五位一体”总体布局，协调推进“四个全面”战略布局，认真落实中发37号文件精神，立足“五大安全”战略定位，聚焦补齐“四个短板”，扎实推进“六项重点工作”，以供给侧结构性改革为主线，以改革创新为动力，围绕新一轮国家资源型城市创新转型发展战略，推进经济转型、社会转型、城市转型，</w:t>
      </w:r>
      <w:r>
        <w:rPr>
          <w:rFonts w:hint="eastAsia" w:ascii="仿宋_GB2312" w:hAnsi="仿宋_GB2312" w:eastAsia="仿宋_GB2312" w:cs="仿宋_GB2312"/>
        </w:rPr>
        <w:t>培育壮大区域核心竞争力，</w:t>
      </w:r>
      <w:r>
        <w:rPr>
          <w:rFonts w:hint="eastAsia" w:ascii="仿宋_GB2312" w:hAnsi="仿宋_GB2312" w:eastAsia="仿宋_GB2312" w:cs="仿宋_GB2312"/>
          <w:szCs w:val="32"/>
        </w:rPr>
        <w:t>加快构建以非煤产业为主导的现代产业体系，</w:t>
      </w:r>
      <w:r>
        <w:rPr>
          <w:rFonts w:hint="eastAsia" w:ascii="仿宋_GB2312" w:hAnsi="仿宋_GB2312" w:eastAsia="仿宋_GB2312" w:cs="仿宋_GB2312"/>
        </w:rPr>
        <w:t>实现资源型城市经济社会全面协调可持续发展，努力把</w:t>
      </w:r>
      <w:r>
        <w:rPr>
          <w:rFonts w:hint="eastAsia" w:ascii="仿宋_GB2312" w:hAnsi="仿宋_GB2312" w:eastAsia="仿宋_GB2312" w:cs="仿宋_GB2312"/>
          <w:szCs w:val="32"/>
        </w:rPr>
        <w:t>调兵山建设成为我国资源型（成熟型）城市创新转型示范区，</w:t>
      </w:r>
      <w:bookmarkStart w:id="43" w:name="_Toc50889039"/>
      <w:bookmarkStart w:id="44" w:name="_Toc50889133"/>
      <w:bookmarkStart w:id="45" w:name="_Toc50886997"/>
      <w:r>
        <w:rPr>
          <w:rFonts w:hint="eastAsia" w:ascii="仿宋_GB2312" w:hAnsi="仿宋_GB2312" w:eastAsia="仿宋_GB2312" w:cs="仿宋_GB2312"/>
          <w:szCs w:val="32"/>
        </w:rPr>
        <w:t>推进治理体系和治理能力现代化，实现经济行稳致远、社会安定和谐，为调兵山全面建设社会主义现代化开好局、起好步，全面展示振兴发展的生动画面和宏大场景。</w:t>
      </w:r>
    </w:p>
    <w:p>
      <w:pPr>
        <w:pStyle w:val="4"/>
        <w:spacing w:before="0" w:after="0" w:line="360" w:lineRule="auto"/>
        <w:rPr>
          <w:rFonts w:ascii="楷体_GB2312" w:hAnsi="楷体_GB2312" w:eastAsia="楷体_GB2312" w:cs="楷体_GB2312"/>
          <w:bCs w:val="0"/>
        </w:rPr>
      </w:pPr>
      <w:r>
        <w:rPr>
          <w:rFonts w:hint="eastAsia" w:ascii="楷体_GB2312" w:hAnsi="楷体_GB2312" w:eastAsia="楷体_GB2312" w:cs="楷体_GB2312"/>
        </w:rPr>
        <w:t xml:space="preserve">第二节 </w:t>
      </w:r>
      <w:r>
        <w:fldChar w:fldCharType="begin"/>
      </w:r>
      <w:r>
        <w:instrText xml:space="preserve"> HYPERLINK \l "_Toc47623176" </w:instrText>
      </w:r>
      <w:r>
        <w:fldChar w:fldCharType="separate"/>
      </w:r>
      <w:bookmarkStart w:id="46" w:name="_Toc58853077"/>
      <w:r>
        <w:rPr>
          <w:rFonts w:hint="eastAsia" w:ascii="楷体_GB2312" w:hAnsi="楷体_GB2312" w:eastAsia="楷体_GB2312" w:cs="楷体_GB2312"/>
          <w:bCs w:val="0"/>
        </w:rPr>
        <w:t>基本原则</w:t>
      </w:r>
      <w:bookmarkEnd w:id="43"/>
      <w:bookmarkEnd w:id="44"/>
      <w:bookmarkEnd w:id="45"/>
      <w:bookmarkEnd w:id="46"/>
      <w:r>
        <w:rPr>
          <w:rFonts w:hint="eastAsia" w:ascii="楷体_GB2312" w:hAnsi="楷体_GB2312" w:eastAsia="楷体_GB2312" w:cs="楷体_GB2312"/>
          <w:bCs w:val="0"/>
        </w:rPr>
        <w:tab/>
      </w:r>
      <w:r>
        <w:rPr>
          <w:rFonts w:hint="eastAsia" w:ascii="楷体_GB2312" w:hAnsi="楷体_GB2312" w:eastAsia="楷体_GB2312" w:cs="楷体_GB2312"/>
          <w:bCs w:val="0"/>
        </w:rPr>
        <w:fldChar w:fldCharType="end"/>
      </w:r>
    </w:p>
    <w:p>
      <w:pPr>
        <w:topLinePunct/>
        <w:spacing w:line="360" w:lineRule="auto"/>
        <w:ind w:firstLine="643"/>
        <w:rPr>
          <w:rFonts w:ascii="仿宋_GB2312" w:hAnsi="仿宋_GB2312" w:eastAsia="仿宋_GB2312" w:cs="仿宋_GB2312"/>
          <w:bCs/>
          <w:szCs w:val="32"/>
        </w:rPr>
      </w:pPr>
      <w:r>
        <w:rPr>
          <w:rFonts w:hint="eastAsia" w:ascii="仿宋_GB2312" w:hAnsi="仿宋_GB2312" w:eastAsia="仿宋_GB2312" w:cs="仿宋_GB2312"/>
          <w:b/>
          <w:szCs w:val="32"/>
        </w:rPr>
        <w:t>坚持党的全面领导。</w:t>
      </w:r>
      <w:r>
        <w:rPr>
          <w:rFonts w:hint="eastAsia" w:ascii="仿宋_GB2312" w:hAnsi="仿宋_GB2312" w:eastAsia="仿宋_GB2312" w:cs="仿宋_GB2312"/>
          <w:szCs w:val="32"/>
        </w:rPr>
        <w:t>坚持和完善党领导经济社会发展的</w:t>
      </w:r>
      <w:r>
        <w:rPr>
          <w:rFonts w:hint="eastAsia" w:ascii="仿宋_GB2312" w:hAnsi="仿宋_GB2312" w:eastAsia="仿宋_GB2312" w:cs="仿宋_GB2312"/>
        </w:rPr>
        <w:t>体制机制，不断提高贯彻新发展理念、构建新发展格局能力和水平，把方向、谋大局、定政策、促改革，为新时代调兵山全面振兴全方位振兴提供根本保证。</w:t>
      </w:r>
    </w:p>
    <w:p>
      <w:pPr>
        <w:ind w:firstLine="643"/>
        <w:rPr>
          <w:rFonts w:ascii="仿宋_GB2312" w:hAnsi="仿宋_GB2312" w:eastAsia="仿宋_GB2312" w:cs="仿宋_GB2312"/>
        </w:rPr>
      </w:pPr>
      <w:r>
        <w:rPr>
          <w:rFonts w:hint="eastAsia" w:ascii="仿宋_GB2312" w:hAnsi="仿宋_GB2312" w:eastAsia="仿宋_GB2312" w:cs="仿宋_GB2312"/>
          <w:b/>
        </w:rPr>
        <w:t>坚持以人民为中心。</w:t>
      </w:r>
      <w:r>
        <w:rPr>
          <w:rFonts w:hint="eastAsia" w:ascii="仿宋_GB2312" w:hAnsi="仿宋_GB2312" w:eastAsia="仿宋_GB2312" w:cs="仿宋_GB2312"/>
        </w:rPr>
        <w:t>坚持人民主体地位，坚持共同富裕方向，始终做到发展为了人民、发展依靠人民、发展成果由人民共享，维护人民根本利益，激发全体人民积极性、主动性、创造性，促进社会公平，增进民生福祉，不断实现人民对美好生活的向往。</w:t>
      </w:r>
    </w:p>
    <w:p>
      <w:pPr>
        <w:ind w:firstLine="643"/>
        <w:jc w:val="left"/>
        <w:rPr>
          <w:rFonts w:ascii="仿宋_GB2312" w:hAnsi="仿宋_GB2312" w:eastAsia="仿宋_GB2312" w:cs="仿宋_GB2312"/>
        </w:rPr>
      </w:pPr>
      <w:r>
        <w:rPr>
          <w:rFonts w:hint="eastAsia" w:ascii="仿宋_GB2312" w:hAnsi="仿宋_GB2312" w:eastAsia="仿宋_GB2312" w:cs="仿宋_GB2312"/>
          <w:b/>
        </w:rPr>
        <w:t>坚持新发展理念</w:t>
      </w:r>
      <w:r>
        <w:rPr>
          <w:rFonts w:hint="eastAsia" w:ascii="仿宋_GB2312" w:hAnsi="仿宋_GB2312" w:eastAsia="仿宋_GB2312" w:cs="仿宋_GB2312"/>
        </w:rPr>
        <w:t>。把新发展理念贯穿发展全过程和各领域，构建新发展格局，转变发展方式，以“创新转型”统领发展，统筹谋划城市转型、产业转型、空间布局、城市更新、乡村振兴。推动质量变革、效率变革、动力变革，实现更高质量、更有效率、更加公平、更可持续、更为安全的发展。</w:t>
      </w:r>
    </w:p>
    <w:p>
      <w:pPr>
        <w:ind w:firstLine="643"/>
        <w:jc w:val="left"/>
        <w:rPr>
          <w:rFonts w:ascii="仿宋_GB2312" w:hAnsi="仿宋_GB2312" w:eastAsia="仿宋_GB2312" w:cs="仿宋_GB2312"/>
        </w:rPr>
      </w:pPr>
      <w:r>
        <w:rPr>
          <w:rFonts w:hint="eastAsia" w:ascii="仿宋_GB2312" w:hAnsi="仿宋_GB2312" w:eastAsia="仿宋_GB2312" w:cs="仿宋_GB2312"/>
          <w:b/>
        </w:rPr>
        <w:t>坚持深化改革开放。</w:t>
      </w:r>
      <w:r>
        <w:rPr>
          <w:rFonts w:hint="eastAsia" w:ascii="仿宋_GB2312" w:hAnsi="仿宋_GB2312" w:eastAsia="仿宋_GB2312" w:cs="仿宋_GB2312"/>
        </w:rPr>
        <w:t>坚定不移推进改革，坚定不移扩大开放，加强治理体系和治理能力现代化建设，破除制约高质量发展、高品质生活的体制机制障碍，进一步强化调兵山市在“调（兵山）-法（库）-康（平）”次区域以及辐射昌图县、铁岭县的中心城市核心地位，持续增强发展活力和动力。</w:t>
      </w:r>
    </w:p>
    <w:p>
      <w:pPr>
        <w:ind w:firstLine="643"/>
        <w:jc w:val="left"/>
        <w:rPr>
          <w:rFonts w:ascii="仿宋_GB2312" w:hAnsi="仿宋_GB2312" w:eastAsia="仿宋_GB2312" w:cs="仿宋_GB2312"/>
        </w:rPr>
      </w:pPr>
      <w:r>
        <w:rPr>
          <w:rFonts w:hint="eastAsia" w:ascii="仿宋_GB2312" w:hAnsi="仿宋_GB2312" w:eastAsia="仿宋_GB2312" w:cs="仿宋_GB2312"/>
          <w:b/>
        </w:rPr>
        <w:t>坚持系统观念。</w:t>
      </w:r>
      <w:r>
        <w:rPr>
          <w:rFonts w:hint="eastAsia" w:ascii="仿宋_GB2312" w:hAnsi="仿宋_GB2312" w:eastAsia="仿宋_GB2312" w:cs="仿宋_GB2312"/>
        </w:rPr>
        <w:t>加强前瞻性思考、全局性谋划、战略性布局、整体性推进，借力国家推进“两新一重”，我省构建沈阳现代化都市圈、辽西融入京津冀协同发展战略先导区等机遇，进一步加强调兵山与铁法能源地企融合，着力固根基、扬优势、补短板、强弱项，注重防范化解重大风险，实现发展质量、结构、规模、速度、效益、安全相统一。</w:t>
      </w:r>
    </w:p>
    <w:p>
      <w:pPr>
        <w:pStyle w:val="4"/>
        <w:spacing w:before="0" w:after="0" w:line="360" w:lineRule="auto"/>
        <w:rPr>
          <w:rFonts w:ascii="楷体" w:hAnsi="楷体" w:eastAsia="楷体" w:cs="Times New Roman"/>
          <w:bCs w:val="0"/>
        </w:rPr>
      </w:pPr>
      <w:r>
        <w:fldChar w:fldCharType="begin"/>
      </w:r>
      <w:r>
        <w:instrText xml:space="preserve"> HYPERLINK \l "_Toc47623177" </w:instrText>
      </w:r>
      <w:r>
        <w:fldChar w:fldCharType="separate"/>
      </w:r>
      <w:bookmarkStart w:id="47" w:name="_Toc58853078"/>
      <w:bookmarkStart w:id="48" w:name="_Toc50886998"/>
      <w:bookmarkStart w:id="49" w:name="_Toc50889040"/>
      <w:bookmarkStart w:id="50" w:name="_Toc50889134"/>
      <w:r>
        <w:rPr>
          <w:rFonts w:hint="eastAsia" w:ascii="楷体_GB2312" w:hAnsi="楷体_GB2312" w:eastAsia="楷体_GB2312" w:cs="楷体_GB2312"/>
          <w:bCs w:val="0"/>
        </w:rPr>
        <w:t>第三节 发展定位</w:t>
      </w:r>
      <w:bookmarkEnd w:id="47"/>
      <w:bookmarkEnd w:id="48"/>
      <w:bookmarkEnd w:id="49"/>
      <w:bookmarkEnd w:id="50"/>
      <w:r>
        <w:rPr>
          <w:rFonts w:hint="eastAsia" w:ascii="楷体_GB2312" w:hAnsi="楷体_GB2312" w:eastAsia="楷体_GB2312" w:cs="楷体_GB2312"/>
          <w:bCs w:val="0"/>
        </w:rPr>
        <w:fldChar w:fldCharType="end"/>
      </w:r>
    </w:p>
    <w:p>
      <w:pPr>
        <w:spacing w:line="360" w:lineRule="auto"/>
        <w:ind w:firstLine="640"/>
        <w:rPr>
          <w:rFonts w:ascii="仿宋_GB2312" w:hAnsi="仿宋_GB2312" w:eastAsia="仿宋_GB2312" w:cs="仿宋_GB2312"/>
        </w:rPr>
      </w:pPr>
      <w:r>
        <w:rPr>
          <w:rFonts w:hint="eastAsia" w:ascii="仿宋_GB2312" w:hAnsi="仿宋_GB2312" w:eastAsia="仿宋_GB2312" w:cs="仿宋_GB2312"/>
        </w:rPr>
        <w:t>调兵山市是辽中南城市群规划中</w:t>
      </w:r>
      <w:r>
        <w:rPr>
          <w:rFonts w:hint="eastAsia" w:ascii="仿宋_GB2312" w:hAnsi="仿宋_GB2312" w:eastAsia="仿宋_GB2312" w:cs="仿宋_GB2312"/>
          <w:b/>
        </w:rPr>
        <w:t>重要节点城市</w:t>
      </w:r>
      <w:r>
        <w:rPr>
          <w:rFonts w:hint="eastAsia" w:ascii="仿宋_GB2312" w:hAnsi="仿宋_GB2312" w:eastAsia="仿宋_GB2312" w:cs="仿宋_GB2312"/>
        </w:rPr>
        <w:t>，是沈阳都市圈北部“调（兵山）-法（库）-康（平）”</w:t>
      </w:r>
      <w:r>
        <w:rPr>
          <w:rFonts w:hint="eastAsia" w:ascii="仿宋_GB2312" w:hAnsi="仿宋_GB2312" w:eastAsia="仿宋_GB2312" w:cs="仿宋_GB2312"/>
          <w:b/>
        </w:rPr>
        <w:t>次区域中心城市</w:t>
      </w:r>
      <w:r>
        <w:rPr>
          <w:rFonts w:hint="eastAsia" w:ascii="仿宋_GB2312" w:hAnsi="仿宋_GB2312" w:eastAsia="仿宋_GB2312" w:cs="仿宋_GB2312"/>
        </w:rPr>
        <w:t>，是铁岭市总体规划中“调兵山-铁岭-抚顺发展轴”中重要</w:t>
      </w:r>
      <w:r>
        <w:rPr>
          <w:rFonts w:hint="eastAsia" w:ascii="仿宋_GB2312" w:hAnsi="仿宋_GB2312" w:eastAsia="仿宋_GB2312" w:cs="仿宋_GB2312"/>
          <w:b/>
        </w:rPr>
        <w:t>城市经济中心，</w:t>
      </w:r>
      <w:r>
        <w:rPr>
          <w:rFonts w:hint="eastAsia" w:ascii="仿宋_GB2312" w:hAnsi="仿宋_GB2312" w:eastAsia="仿宋_GB2312" w:cs="仿宋_GB2312"/>
        </w:rPr>
        <w:t>也是铁三线（铁岭县-三江口）城镇发展轴线上唯一的城市。“十四五”时期，依托调兵山市区位优势及资源禀赋，着力打造辽中南城市群具有影响力的</w:t>
      </w:r>
      <w:r>
        <w:rPr>
          <w:rFonts w:hint="eastAsia" w:ascii="仿宋_GB2312" w:hAnsi="仿宋_GB2312" w:eastAsia="仿宋_GB2312" w:cs="仿宋_GB2312"/>
          <w:b/>
        </w:rPr>
        <w:t>次区域都市经济核心、新能源新材料智能制造高地、复兴城市记忆文旅名城和智慧生态宜居康养典范</w:t>
      </w:r>
      <w:r>
        <w:rPr>
          <w:rFonts w:hint="eastAsia" w:ascii="仿宋_GB2312" w:hAnsi="仿宋_GB2312" w:eastAsia="仿宋_GB2312" w:cs="仿宋_GB2312"/>
        </w:rPr>
        <w:t>。</w:t>
      </w:r>
    </w:p>
    <w:p>
      <w:pPr>
        <w:spacing w:line="360" w:lineRule="auto"/>
        <w:ind w:firstLine="643"/>
        <w:jc w:val="left"/>
        <w:rPr>
          <w:rFonts w:ascii="仿宋_GB2312" w:hAnsi="仿宋_GB2312" w:eastAsia="仿宋_GB2312" w:cs="仿宋_GB2312"/>
          <w:szCs w:val="32"/>
        </w:rPr>
      </w:pPr>
      <w:r>
        <w:rPr>
          <w:rFonts w:hint="eastAsia" w:ascii="仿宋_GB2312" w:hAnsi="仿宋_GB2312" w:eastAsia="仿宋_GB2312" w:cs="仿宋_GB2312"/>
          <w:b/>
          <w:szCs w:val="32"/>
        </w:rPr>
        <w:t>——次区域都市经济核心</w:t>
      </w:r>
      <w:r>
        <w:rPr>
          <w:rFonts w:hint="eastAsia" w:ascii="仿宋_GB2312" w:hAnsi="仿宋_GB2312" w:eastAsia="仿宋_GB2312" w:cs="仿宋_GB2312"/>
          <w:szCs w:val="32"/>
        </w:rPr>
        <w:t>。注重培育和提升城市服务功能和综合实力，提高现代服务业比重，不断完善基础设施，规划建设东外环线，适时调整行政区划，扩大城市规模，提升城市品位，切实增强经济、文化、科技、教育等方面的集聚辐射能力。教育、医疗、康养、文旅、现代服务业成为调兵山全面融入沈阳都市圈、打造次区域中心城市的重要支撑。</w:t>
      </w:r>
    </w:p>
    <w:p>
      <w:pPr>
        <w:spacing w:line="360" w:lineRule="auto"/>
        <w:ind w:firstLine="643"/>
        <w:rPr>
          <w:rFonts w:ascii="仿宋_GB2312" w:hAnsi="仿宋_GB2312" w:eastAsia="仿宋_GB2312" w:cs="仿宋_GB2312"/>
          <w:szCs w:val="32"/>
        </w:rPr>
      </w:pPr>
      <w:r>
        <w:rPr>
          <w:rFonts w:hint="eastAsia" w:ascii="仿宋_GB2312" w:hAnsi="仿宋_GB2312" w:eastAsia="仿宋_GB2312" w:cs="仿宋_GB2312"/>
          <w:b/>
          <w:szCs w:val="32"/>
        </w:rPr>
        <w:t>——新能源新材料智能制造高地</w:t>
      </w:r>
      <w:r>
        <w:rPr>
          <w:rFonts w:hint="eastAsia" w:ascii="仿宋_GB2312" w:hAnsi="仿宋_GB2312" w:eastAsia="仿宋_GB2312" w:cs="仿宋_GB2312"/>
          <w:szCs w:val="32"/>
        </w:rPr>
        <w:t>。依托调兵山经济开发区，在主导产业基础上，抓好5G、工业互联网等数字化、智能化平台，盘活园区闲置厂房，推动传统产业升级，优化产品结构，延伸产业链，推动服务型制造、绿色制造、智能制造发展，发展接续替代产业和战略性新兴产业。打造辽北地区具有影响力的新能源新材料智能制造高地。</w:t>
      </w:r>
    </w:p>
    <w:p>
      <w:pPr>
        <w:spacing w:line="360" w:lineRule="auto"/>
        <w:ind w:firstLine="643"/>
        <w:rPr>
          <w:rFonts w:ascii="仿宋_GB2312" w:hAnsi="仿宋_GB2312" w:eastAsia="仿宋_GB2312" w:cs="仿宋_GB2312"/>
          <w:szCs w:val="32"/>
        </w:rPr>
      </w:pPr>
      <w:r>
        <w:rPr>
          <w:rFonts w:hint="eastAsia" w:ascii="仿宋_GB2312" w:hAnsi="仿宋_GB2312" w:eastAsia="仿宋_GB2312" w:cs="仿宋_GB2312"/>
          <w:b/>
          <w:szCs w:val="32"/>
        </w:rPr>
        <w:t>——复兴城市记忆的文旅名城。</w:t>
      </w:r>
      <w:r>
        <w:rPr>
          <w:rFonts w:hint="eastAsia" w:ascii="仿宋_GB2312" w:hAnsi="仿宋_GB2312" w:eastAsia="仿宋_GB2312" w:cs="仿宋_GB2312"/>
          <w:szCs w:val="32"/>
        </w:rPr>
        <w:t>加强工业文化、辽金文化资源的保护、挖掘和利用，促进历史文化积淀与现代城市发展有机融合，围绕</w:t>
      </w:r>
      <w:r>
        <w:rPr>
          <w:rFonts w:hint="eastAsia" w:ascii="仿宋_GB2312" w:hAnsi="仿宋_GB2312" w:eastAsia="仿宋_GB2312" w:cs="仿宋_GB2312"/>
          <w:bCs/>
          <w:szCs w:val="32"/>
        </w:rPr>
        <w:t>锁龙沟等辽金历史文化</w:t>
      </w:r>
      <w:r>
        <w:rPr>
          <w:rFonts w:hint="eastAsia" w:ascii="仿宋_GB2312" w:hAnsi="仿宋_GB2312" w:eastAsia="仿宋_GB2312" w:cs="仿宋_GB2312"/>
          <w:szCs w:val="32"/>
        </w:rPr>
        <w:t>和</w:t>
      </w:r>
      <w:r>
        <w:rPr>
          <w:rFonts w:hint="eastAsia" w:ascii="仿宋_GB2312" w:hAnsi="仿宋_GB2312" w:eastAsia="仿宋_GB2312" w:cs="仿宋_GB2312"/>
          <w:bCs/>
          <w:szCs w:val="32"/>
        </w:rPr>
        <w:t>蒸汽机车工业遗产、沙后所红色遗址遗存和影视拍摄基地</w:t>
      </w:r>
      <w:r>
        <w:rPr>
          <w:rFonts w:hint="eastAsia" w:ascii="仿宋_GB2312" w:hAnsi="仿宋_GB2312" w:eastAsia="仿宋_GB2312" w:cs="仿宋_GB2312"/>
          <w:szCs w:val="32"/>
        </w:rPr>
        <w:t>等地标，打造复兴城市记忆的文化旅游名城。</w:t>
      </w:r>
    </w:p>
    <w:p>
      <w:pPr>
        <w:spacing w:line="360" w:lineRule="auto"/>
        <w:ind w:firstLine="643"/>
        <w:rPr>
          <w:rFonts w:ascii="仿宋_GB2312" w:hAnsi="仿宋_GB2312" w:eastAsia="仿宋_GB2312" w:cs="仿宋_GB2312"/>
          <w:szCs w:val="32"/>
        </w:rPr>
      </w:pPr>
      <w:r>
        <w:rPr>
          <w:rFonts w:hint="eastAsia" w:ascii="仿宋_GB2312" w:hAnsi="仿宋_GB2312" w:eastAsia="仿宋_GB2312" w:cs="仿宋_GB2312"/>
          <w:b/>
          <w:szCs w:val="32"/>
        </w:rPr>
        <w:t>——智慧生态宜居康养典范。</w:t>
      </w:r>
      <w:r>
        <w:rPr>
          <w:rFonts w:hint="eastAsia" w:ascii="仿宋_GB2312" w:hAnsi="仿宋_GB2312" w:eastAsia="仿宋_GB2312" w:cs="仿宋_GB2312"/>
          <w:szCs w:val="32"/>
        </w:rPr>
        <w:t>全面加强生态环境保护与治理，</w:t>
      </w:r>
      <w:r>
        <w:rPr>
          <w:rFonts w:hint="eastAsia" w:ascii="仿宋_GB2312" w:hAnsi="仿宋_GB2312" w:eastAsia="仿宋_GB2312" w:cs="仿宋_GB2312"/>
          <w:bCs/>
          <w:szCs w:val="32"/>
        </w:rPr>
        <w:t>推进采煤沉陷区生态修复</w:t>
      </w:r>
      <w:r>
        <w:rPr>
          <w:rFonts w:hint="eastAsia" w:ascii="仿宋_GB2312" w:hAnsi="仿宋_GB2312" w:eastAsia="仿宋_GB2312" w:cs="仿宋_GB2312"/>
          <w:szCs w:val="32"/>
        </w:rPr>
        <w:t>，建设</w:t>
      </w:r>
      <w:r>
        <w:rPr>
          <w:rFonts w:hint="eastAsia" w:ascii="仿宋_GB2312" w:hAnsi="仿宋_GB2312" w:eastAsia="仿宋_GB2312" w:cs="仿宋_GB2312"/>
          <w:bCs/>
          <w:szCs w:val="32"/>
        </w:rPr>
        <w:t>城市湿地公园</w:t>
      </w:r>
      <w:r>
        <w:rPr>
          <w:rFonts w:hint="eastAsia" w:ascii="仿宋_GB2312" w:hAnsi="仿宋_GB2312" w:eastAsia="仿宋_GB2312" w:cs="仿宋_GB2312"/>
          <w:szCs w:val="32"/>
        </w:rPr>
        <w:t>，打造新开河滨河廊道，加强绿化、美化、亮化工程和水系建设，打造融秀丽山水、人文景观、生态休闲、旅游度假、康体养生、候鸟养老、体育论坛于一体的生态康养品牌，构建智慧生态宜居康养典范。</w:t>
      </w:r>
    </w:p>
    <w:p>
      <w:pPr>
        <w:pStyle w:val="4"/>
        <w:spacing w:before="0" w:after="0" w:line="360" w:lineRule="auto"/>
        <w:rPr>
          <w:rFonts w:ascii="楷体_GB2312" w:hAnsi="楷体_GB2312" w:eastAsia="楷体_GB2312" w:cs="楷体_GB2312"/>
          <w:bCs w:val="0"/>
        </w:rPr>
      </w:pPr>
      <w:r>
        <w:fldChar w:fldCharType="begin"/>
      </w:r>
      <w:r>
        <w:instrText xml:space="preserve"> HYPERLINK \l "_Toc47623178" </w:instrText>
      </w:r>
      <w:r>
        <w:fldChar w:fldCharType="separate"/>
      </w:r>
      <w:bookmarkStart w:id="51" w:name="_Toc50886999"/>
      <w:bookmarkStart w:id="52" w:name="_Toc50889135"/>
      <w:bookmarkStart w:id="53" w:name="_Toc58853079"/>
      <w:bookmarkStart w:id="54" w:name="_Toc50889041"/>
      <w:r>
        <w:rPr>
          <w:rFonts w:hint="eastAsia" w:ascii="楷体_GB2312" w:hAnsi="楷体_GB2312" w:eastAsia="楷体_GB2312" w:cs="楷体_GB2312"/>
          <w:bCs w:val="0"/>
        </w:rPr>
        <w:t>第四节 发展目标</w:t>
      </w:r>
      <w:bookmarkEnd w:id="51"/>
      <w:bookmarkEnd w:id="52"/>
      <w:bookmarkEnd w:id="53"/>
      <w:bookmarkEnd w:id="54"/>
      <w:r>
        <w:rPr>
          <w:rFonts w:hint="eastAsia" w:ascii="楷体_GB2312" w:hAnsi="楷体_GB2312" w:eastAsia="楷体_GB2312" w:cs="楷体_GB2312"/>
          <w:bCs w:val="0"/>
        </w:rPr>
        <w:fldChar w:fldCharType="end"/>
      </w:r>
    </w:p>
    <w:p>
      <w:pPr>
        <w:ind w:firstLine="643"/>
        <w:rPr>
          <w:rFonts w:ascii="仿宋_GB2312" w:hAnsi="仿宋_GB2312" w:eastAsia="仿宋_GB2312" w:cs="仿宋_GB2312"/>
          <w:szCs w:val="32"/>
        </w:rPr>
      </w:pPr>
      <w:r>
        <w:rPr>
          <w:rFonts w:hint="eastAsia" w:ascii="仿宋_GB2312" w:hAnsi="仿宋_GB2312" w:eastAsia="仿宋_GB2312" w:cs="仿宋_GB2312"/>
          <w:b/>
          <w:bCs/>
          <w:szCs w:val="32"/>
        </w:rPr>
        <w:t>二〇三五年远景目标:</w:t>
      </w:r>
      <w:r>
        <w:rPr>
          <w:rFonts w:hint="eastAsia" w:ascii="仿宋_GB2312" w:hAnsi="仿宋_GB2312" w:eastAsia="仿宋_GB2312" w:cs="仿宋_GB2312"/>
          <w:szCs w:val="32"/>
        </w:rPr>
        <w:t xml:space="preserve">展望二〇三五年，调兵山市资源型城市转型基本完成，经济转型、社会转型、城市转型取得显著成效。与全国和省市同步基本实现社会主义现代化，实现新时代全面振兴全方位振兴。届时，综合实力大幅跃升，经济总量和城乡居民人均收入将迈上新台阶，建成以非煤产业为主导的现代产业体系；基本实现新型工业化、信息化、城镇化、农业现代化，建成现代化经济体系；各方面制度更加完善，基本实现治理体系和治理能力现代化，跻身我省创新型城市前列。公民素质和社会文明程度达到新高度；广泛形成绿色生产生活方式，采沉区治理有效，生态环境根本好转，基本建成人与自然和谐共生的美丽调兵山；形成对外开放新格局；基本公共服务、基础设施通达程度显著提升，人民生活更加美好，人的全面发展、人民共同富裕取得更为明显的实质性进展。调-法-康次区域经济中心、文旅中心、医疗中心、教育中心地位凸显；成为辽北地区重要的新能源新材料智能制造高地；沈阳都市圈知名的文旅名城和生态宜居康养典范。 </w:t>
      </w:r>
    </w:p>
    <w:p>
      <w:pPr>
        <w:ind w:firstLine="643"/>
        <w:rPr>
          <w:rFonts w:ascii="仿宋_GB2312" w:hAnsi="仿宋_GB2312" w:eastAsia="仿宋_GB2312" w:cs="仿宋_GB2312"/>
          <w:szCs w:val="32"/>
        </w:rPr>
      </w:pPr>
      <w:r>
        <w:rPr>
          <w:rFonts w:hint="eastAsia" w:ascii="仿宋_GB2312" w:hAnsi="仿宋_GB2312" w:eastAsia="仿宋_GB2312" w:cs="仿宋_GB2312"/>
          <w:b/>
          <w:bCs/>
          <w:szCs w:val="32"/>
        </w:rPr>
        <w:t>“十四五”时期经济社会发展主要目标</w:t>
      </w:r>
      <w:r>
        <w:rPr>
          <w:rFonts w:hint="eastAsia" w:ascii="仿宋_GB2312" w:hAnsi="仿宋_GB2312" w:eastAsia="仿宋_GB2312" w:cs="仿宋_GB2312"/>
          <w:szCs w:val="32"/>
        </w:rPr>
        <w:t>：锚定二〇三五年远景目标，综合考虑调兵山发展的阶段性特征和未来发展的支撑条件，通过五年努力，调兵山市初步建成现代化经济体系、市场体系、创新体系、产业体系、城乡区域发展体系、绿色发展体系、全面开放体系、民生保障体系，着力打造“一个示范区”“两型城市”“三个中心”“四大基地”。</w:t>
      </w:r>
    </w:p>
    <w:p>
      <w:pPr>
        <w:ind w:firstLine="643"/>
        <w:rPr>
          <w:rFonts w:ascii="仿宋_GB2312" w:hAnsi="仿宋_GB2312" w:eastAsia="仿宋_GB2312" w:cs="仿宋_GB2312"/>
          <w:szCs w:val="32"/>
        </w:rPr>
      </w:pPr>
      <w:r>
        <w:rPr>
          <w:rFonts w:hint="eastAsia" w:ascii="仿宋_GB2312" w:hAnsi="仿宋_GB2312" w:eastAsia="仿宋_GB2312" w:cs="仿宋_GB2312"/>
          <w:b/>
          <w:szCs w:val="32"/>
        </w:rPr>
        <w:t>“一个示范区”，即打造国家级资源型城市创新转型示范区。</w:t>
      </w:r>
      <w:r>
        <w:rPr>
          <w:rFonts w:hint="eastAsia" w:ascii="仿宋_GB2312" w:hAnsi="仿宋_GB2312" w:eastAsia="仿宋_GB2312" w:cs="仿宋_GB2312"/>
          <w:szCs w:val="32"/>
        </w:rPr>
        <w:t>以服务铁煤为中心，在域内稳定煤炭产量1600万吨的基础上，发展电力、建筑建材、煤机制造、煤矸石利用等非煤产业，并支持企业向内蒙、山西等域外发展。同时，大力发展四大主导产业，在目前非煤规上工业产值占43%的基础上，力争在“十四五”期间提升到70%以上，实现地企融合、产城协调、城乡一体发展。</w:t>
      </w:r>
    </w:p>
    <w:p>
      <w:pPr>
        <w:spacing w:line="360" w:lineRule="auto"/>
        <w:ind w:firstLine="643"/>
        <w:rPr>
          <w:rFonts w:ascii="仿宋_GB2312" w:hAnsi="仿宋_GB2312" w:eastAsia="仿宋_GB2312" w:cs="仿宋_GB2312"/>
          <w:b/>
          <w:szCs w:val="32"/>
        </w:rPr>
      </w:pPr>
      <w:r>
        <w:rPr>
          <w:rFonts w:hint="eastAsia" w:ascii="仿宋_GB2312" w:hAnsi="仿宋_GB2312" w:eastAsia="仿宋_GB2312" w:cs="仿宋_GB2312"/>
          <w:b/>
          <w:szCs w:val="32"/>
        </w:rPr>
        <w:t>“两型城市”，即生态园林城市和新型智慧城市。</w:t>
      </w:r>
    </w:p>
    <w:p>
      <w:pPr>
        <w:spacing w:line="360" w:lineRule="auto"/>
        <w:ind w:firstLine="640"/>
        <w:rPr>
          <w:rFonts w:ascii="仿宋_GB2312" w:hAnsi="仿宋_GB2312" w:eastAsia="仿宋_GB2312" w:cs="仿宋_GB2312"/>
          <w:szCs w:val="32"/>
        </w:rPr>
      </w:pPr>
      <w:r>
        <w:rPr>
          <w:rFonts w:hint="eastAsia" w:ascii="仿宋_GB2312" w:hAnsi="仿宋_GB2312" w:eastAsia="仿宋_GB2312" w:cs="仿宋_GB2312"/>
          <w:szCs w:val="32"/>
        </w:rPr>
        <w:t>生态园林城市：将生态文明理念融入城市建设全过程，依托国家园林城市发展基础，秉承“山河辉映、绿脉成廊、生态为网、低碳建城”总体思路，重点以雨污分流、新开河和长沟河综合治理等为重点，推进全域污水零直排区建设。推进产业生态化和生态产业化，打造生态型园林城市。</w:t>
      </w:r>
    </w:p>
    <w:p>
      <w:pPr>
        <w:spacing w:line="360" w:lineRule="auto"/>
        <w:ind w:firstLine="640"/>
        <w:rPr>
          <w:rFonts w:ascii="仿宋_GB2312" w:hAnsi="仿宋_GB2312" w:eastAsia="仿宋_GB2312" w:cs="仿宋_GB2312"/>
          <w:szCs w:val="32"/>
        </w:rPr>
      </w:pPr>
      <w:r>
        <w:rPr>
          <w:rFonts w:hint="eastAsia" w:ascii="仿宋_GB2312" w:hAnsi="仿宋_GB2312" w:eastAsia="仿宋_GB2312" w:cs="仿宋_GB2312"/>
          <w:szCs w:val="32"/>
        </w:rPr>
        <w:t>新型智慧城市：统筹推进新型基础设施建设和新型城镇化建设，将智慧城市建设作为提升城市竞争力，创新社会治理，提升精细化管理水平，推动经济社会高质量发展的有力抓手。以“一网通办”为重点，全面加强电子政务平台建设。着力打造智慧党建、新时代文明实践站所、政务服务驿站、评理说事点“党建+三位一体”工程，实现智能互联、宜居宜业、协同创新，打造新型智慧城市。</w:t>
      </w:r>
    </w:p>
    <w:p>
      <w:pPr>
        <w:spacing w:line="360" w:lineRule="auto"/>
        <w:ind w:firstLine="643"/>
        <w:rPr>
          <w:rFonts w:ascii="仿宋_GB2312" w:hAnsi="仿宋_GB2312" w:eastAsia="仿宋_GB2312" w:cs="仿宋_GB2312"/>
          <w:szCs w:val="32"/>
        </w:rPr>
      </w:pPr>
      <w:r>
        <w:rPr>
          <w:rFonts w:hint="eastAsia" w:ascii="仿宋_GB2312" w:hAnsi="仿宋_GB2312" w:eastAsia="仿宋_GB2312" w:cs="仿宋_GB2312"/>
          <w:b/>
          <w:szCs w:val="32"/>
        </w:rPr>
        <w:t>“三个中心”，即特色文化旅游中心、生态宜居康养中心、工业物流中心。</w:t>
      </w:r>
      <w:r>
        <w:rPr>
          <w:rFonts w:hint="eastAsia" w:ascii="仿宋_GB2312" w:hAnsi="仿宋_GB2312" w:eastAsia="仿宋_GB2312" w:cs="仿宋_GB2312"/>
          <w:szCs w:val="32"/>
        </w:rPr>
        <w:t>一是开发利用蒸汽机车、辽金文化等特色文化旅游资源，依托平安驿等重大项目，建设特色文化旅游中心，打造沈阳都市圈城市后花园；二是依托竹溪源温泉度假村、域内三甲医院、疗养院等资源，进一步推进康养产业发展，打造生态宜居康养中心；三是以燃料乙醇配套物流企业为主体，围绕南北园区工业物流需求，打造区域性工业物流中心。</w:t>
      </w:r>
    </w:p>
    <w:p>
      <w:pPr>
        <w:spacing w:line="360" w:lineRule="auto"/>
        <w:ind w:firstLine="643"/>
        <w:rPr>
          <w:rFonts w:ascii="Times New Roman" w:hAnsi="Times New Roman" w:eastAsia="仿宋_GB2312"/>
          <w:szCs w:val="32"/>
        </w:rPr>
      </w:pPr>
      <w:r>
        <w:rPr>
          <w:rFonts w:hint="eastAsia" w:ascii="仿宋_GB2312" w:hAnsi="仿宋_GB2312" w:eastAsia="仿宋_GB2312" w:cs="仿宋_GB2312"/>
          <w:b/>
          <w:szCs w:val="32"/>
        </w:rPr>
        <w:t>“四大基地”，即新能源新材料、再生资源、智能绿色制造、医疗用品产业基地。</w:t>
      </w:r>
      <w:r>
        <w:rPr>
          <w:rFonts w:hint="eastAsia" w:ascii="仿宋_GB2312" w:hAnsi="仿宋_GB2312" w:eastAsia="仿宋_GB2312" w:cs="仿宋_GB2312"/>
          <w:szCs w:val="32"/>
        </w:rPr>
        <w:t>一是以燃料乙醇、炭炭复合材料等项目为代表的新能源新材料产业基地；二是以100万吨/年生物质能源等项目为代表的再生资源产业基地；三是以民生智能仪表、鑫丰矿电等企业为代表的智能绿色制造产业基地；四是以尚威医疗用品、卡斯特金属等项目为代表的医疗用品产业基地。</w:t>
      </w: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2"/>
        <w:pBdr>
          <w:bottom w:val="none" w:color="auto" w:sz="0" w:space="0"/>
        </w:pBdr>
        <w:ind w:firstLine="360"/>
      </w:pPr>
    </w:p>
    <w:p>
      <w:pPr>
        <w:pStyle w:val="6"/>
        <w:spacing w:before="156" w:after="156"/>
        <w:jc w:val="center"/>
      </w:pPr>
      <w:r>
        <w:rPr>
          <w:rFonts w:hint="eastAsia" w:ascii="楷体" w:hAnsi="楷体" w:eastAsia="楷体"/>
          <w:sz w:val="28"/>
        </w:rPr>
        <w:t>表1 调兵山市</w:t>
      </w:r>
      <w:r>
        <w:rPr>
          <w:rFonts w:ascii="楷体" w:hAnsi="楷体" w:eastAsia="楷体"/>
          <w:sz w:val="28"/>
        </w:rPr>
        <w:t>“十四五”经济社会发展主要指标</w:t>
      </w:r>
    </w:p>
    <w:tbl>
      <w:tblPr>
        <w:tblStyle w:val="28"/>
        <w:tblpPr w:leftFromText="180" w:rightFromText="180" w:vertAnchor="page" w:horzAnchor="margin" w:tblpY="2101"/>
        <w:tblW w:w="5078" w:type="pct"/>
        <w:tblInd w:w="0" w:type="dxa"/>
        <w:tblBorders>
          <w:top w:val="double" w:color="auto" w:sz="4" w:space="0"/>
          <w:left w:val="none" w:color="auto" w:sz="0" w:space="0"/>
          <w:bottom w:val="doub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603"/>
        <w:gridCol w:w="2413"/>
        <w:gridCol w:w="634"/>
        <w:gridCol w:w="762"/>
        <w:gridCol w:w="161"/>
        <w:gridCol w:w="480"/>
        <w:gridCol w:w="728"/>
        <w:gridCol w:w="42"/>
        <w:gridCol w:w="691"/>
        <w:gridCol w:w="520"/>
        <w:gridCol w:w="62"/>
        <w:gridCol w:w="646"/>
        <w:gridCol w:w="913"/>
      </w:tblGrid>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890" w:hRule="exact"/>
        </w:trPr>
        <w:tc>
          <w:tcPr>
            <w:tcW w:w="348" w:type="pct"/>
            <w:vMerge w:val="restart"/>
            <w:vAlign w:val="center"/>
          </w:tcPr>
          <w:p>
            <w:pPr>
              <w:widowControl/>
              <w:ind w:firstLine="0" w:firstLineChars="0"/>
              <w:rPr>
                <w:rFonts w:asciiTheme="minorEastAsia" w:hAnsiTheme="minorEastAsia" w:eastAsiaTheme="minorEastAsia"/>
                <w:sz w:val="20"/>
                <w:szCs w:val="20"/>
              </w:rPr>
            </w:pPr>
            <w:r>
              <w:rPr>
                <w:rFonts w:asciiTheme="minorEastAsia" w:hAnsiTheme="minorEastAsia" w:eastAsiaTheme="minorEastAsia"/>
                <w:sz w:val="20"/>
                <w:szCs w:val="20"/>
              </w:rPr>
              <w:t>分类</w:t>
            </w:r>
          </w:p>
        </w:tc>
        <w:tc>
          <w:tcPr>
            <w:tcW w:w="1393" w:type="pct"/>
            <w:vMerge w:val="restart"/>
            <w:vAlign w:val="center"/>
          </w:tcPr>
          <w:p>
            <w:pPr>
              <w:ind w:firstLine="400"/>
              <w:jc w:val="center"/>
              <w:rPr>
                <w:rFonts w:asciiTheme="minorEastAsia" w:hAnsiTheme="minorEastAsia" w:eastAsiaTheme="minorEastAsia"/>
                <w:sz w:val="20"/>
                <w:szCs w:val="20"/>
              </w:rPr>
            </w:pPr>
            <w:r>
              <w:rPr>
                <w:rFonts w:asciiTheme="minorEastAsia" w:hAnsiTheme="minorEastAsia" w:eastAsiaTheme="minorEastAsia"/>
                <w:sz w:val="20"/>
                <w:szCs w:val="20"/>
              </w:rPr>
              <w:t>指</w:t>
            </w:r>
            <w:r>
              <w:rPr>
                <w:rFonts w:hint="eastAsia" w:asciiTheme="minorEastAsia" w:hAnsiTheme="minorEastAsia" w:eastAsiaTheme="minorEastAsia"/>
                <w:sz w:val="20"/>
                <w:szCs w:val="20"/>
              </w:rPr>
              <w:t xml:space="preserve">  </w:t>
            </w:r>
            <w:r>
              <w:rPr>
                <w:rFonts w:asciiTheme="minorEastAsia" w:hAnsiTheme="minorEastAsia" w:eastAsiaTheme="minorEastAsia"/>
                <w:sz w:val="20"/>
                <w:szCs w:val="20"/>
              </w:rPr>
              <w:t>标</w:t>
            </w:r>
          </w:p>
        </w:tc>
        <w:tc>
          <w:tcPr>
            <w:tcW w:w="366" w:type="pct"/>
            <w:vMerge w:val="restart"/>
            <w:vAlign w:val="center"/>
          </w:tcPr>
          <w:p>
            <w:pPr>
              <w:ind w:firstLine="0" w:firstLineChars="0"/>
              <w:rPr>
                <w:rFonts w:asciiTheme="minorEastAsia" w:hAnsiTheme="minorEastAsia" w:eastAsiaTheme="minorEastAsia"/>
                <w:sz w:val="20"/>
                <w:szCs w:val="20"/>
              </w:rPr>
            </w:pPr>
            <w:r>
              <w:rPr>
                <w:rFonts w:hint="eastAsia" w:asciiTheme="minorEastAsia" w:hAnsiTheme="minorEastAsia" w:eastAsiaTheme="minorEastAsia"/>
                <w:sz w:val="20"/>
                <w:szCs w:val="20"/>
              </w:rPr>
              <w:t>单位</w:t>
            </w:r>
          </w:p>
        </w:tc>
        <w:tc>
          <w:tcPr>
            <w:tcW w:w="810" w:type="pct"/>
            <w:gridSpan w:val="3"/>
            <w:vAlign w:val="center"/>
          </w:tcPr>
          <w:p>
            <w:pPr>
              <w:widowControl/>
              <w:ind w:firstLine="0" w:firstLineChars="0"/>
              <w:rPr>
                <w:rFonts w:asciiTheme="minorEastAsia" w:hAnsiTheme="minorEastAsia" w:eastAsiaTheme="minorEastAsia"/>
                <w:sz w:val="20"/>
                <w:szCs w:val="20"/>
              </w:rPr>
            </w:pPr>
            <w:r>
              <w:rPr>
                <w:rFonts w:asciiTheme="minorEastAsia" w:hAnsiTheme="minorEastAsia" w:eastAsiaTheme="minorEastAsia"/>
                <w:sz w:val="20"/>
                <w:szCs w:val="20"/>
              </w:rPr>
              <w:t>2020年预计</w:t>
            </w:r>
          </w:p>
        </w:tc>
        <w:tc>
          <w:tcPr>
            <w:tcW w:w="843" w:type="pct"/>
            <w:gridSpan w:val="3"/>
            <w:vAlign w:val="center"/>
          </w:tcPr>
          <w:p>
            <w:pPr>
              <w:widowControl/>
              <w:ind w:firstLine="0" w:firstLineChars="0"/>
              <w:rPr>
                <w:rFonts w:asciiTheme="minorEastAsia" w:hAnsiTheme="minorEastAsia" w:eastAsiaTheme="minorEastAsia"/>
                <w:bCs/>
                <w:sz w:val="20"/>
                <w:szCs w:val="20"/>
              </w:rPr>
            </w:pPr>
            <w:r>
              <w:rPr>
                <w:rFonts w:asciiTheme="minorEastAsia" w:hAnsiTheme="minorEastAsia" w:eastAsiaTheme="minorEastAsia"/>
                <w:sz w:val="20"/>
                <w:szCs w:val="20"/>
              </w:rPr>
              <w:t>2025年目标</w:t>
            </w:r>
          </w:p>
        </w:tc>
        <w:tc>
          <w:tcPr>
            <w:tcW w:w="709" w:type="pct"/>
            <w:gridSpan w:val="3"/>
            <w:vAlign w:val="center"/>
          </w:tcPr>
          <w:p>
            <w:pPr>
              <w:widowControl/>
              <w:ind w:firstLine="0" w:firstLineChars="0"/>
              <w:rPr>
                <w:rFonts w:asciiTheme="minorEastAsia" w:hAnsiTheme="minorEastAsia" w:eastAsiaTheme="minorEastAsia"/>
                <w:sz w:val="20"/>
                <w:szCs w:val="20"/>
              </w:rPr>
            </w:pPr>
            <w:r>
              <w:rPr>
                <w:rFonts w:hint="eastAsia" w:asciiTheme="minorEastAsia" w:hAnsiTheme="minorEastAsia" w:eastAsiaTheme="minorEastAsia"/>
                <w:sz w:val="20"/>
                <w:szCs w:val="20"/>
              </w:rPr>
              <w:t>2025年奋进目标</w:t>
            </w:r>
          </w:p>
        </w:tc>
        <w:tc>
          <w:tcPr>
            <w:tcW w:w="527" w:type="pct"/>
            <w:vMerge w:val="restart"/>
            <w:vAlign w:val="center"/>
          </w:tcPr>
          <w:p>
            <w:pPr>
              <w:widowControl/>
              <w:ind w:firstLine="0" w:firstLineChars="0"/>
              <w:rPr>
                <w:rFonts w:asciiTheme="minorEastAsia" w:hAnsiTheme="minorEastAsia" w:eastAsiaTheme="minorEastAsia"/>
                <w:sz w:val="20"/>
                <w:szCs w:val="20"/>
              </w:rPr>
            </w:pPr>
            <w:r>
              <w:rPr>
                <w:rFonts w:hint="eastAsia" w:asciiTheme="minorEastAsia" w:hAnsiTheme="minorEastAsia" w:eastAsiaTheme="minorEastAsia"/>
                <w:sz w:val="20"/>
                <w:szCs w:val="20"/>
              </w:rPr>
              <w:t>责任单位</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503" w:hRule="exact"/>
        </w:trPr>
        <w:tc>
          <w:tcPr>
            <w:tcW w:w="348" w:type="pct"/>
            <w:vMerge w:val="continue"/>
            <w:vAlign w:val="center"/>
          </w:tcPr>
          <w:p>
            <w:pPr>
              <w:widowControl/>
              <w:ind w:firstLine="400"/>
              <w:jc w:val="center"/>
              <w:rPr>
                <w:rFonts w:asciiTheme="minorEastAsia" w:hAnsiTheme="minorEastAsia" w:eastAsiaTheme="minorEastAsia"/>
                <w:sz w:val="20"/>
                <w:szCs w:val="20"/>
              </w:rPr>
            </w:pPr>
          </w:p>
        </w:tc>
        <w:tc>
          <w:tcPr>
            <w:tcW w:w="1393" w:type="pct"/>
            <w:vMerge w:val="continue"/>
            <w:vAlign w:val="center"/>
          </w:tcPr>
          <w:p>
            <w:pPr>
              <w:widowControl/>
              <w:ind w:firstLine="400"/>
              <w:rPr>
                <w:rFonts w:asciiTheme="minorEastAsia" w:hAnsiTheme="minorEastAsia" w:eastAsiaTheme="minorEastAsia"/>
                <w:sz w:val="20"/>
                <w:szCs w:val="20"/>
              </w:rPr>
            </w:pPr>
          </w:p>
        </w:tc>
        <w:tc>
          <w:tcPr>
            <w:tcW w:w="366" w:type="pct"/>
            <w:vMerge w:val="continue"/>
            <w:vAlign w:val="center"/>
          </w:tcPr>
          <w:p>
            <w:pPr>
              <w:widowControl/>
              <w:ind w:firstLine="400"/>
              <w:jc w:val="center"/>
              <w:rPr>
                <w:rFonts w:asciiTheme="minorEastAsia" w:hAnsiTheme="minorEastAsia" w:eastAsiaTheme="minorEastAsia"/>
                <w:sz w:val="20"/>
                <w:szCs w:val="20"/>
              </w:rPr>
            </w:pPr>
          </w:p>
        </w:tc>
        <w:tc>
          <w:tcPr>
            <w:tcW w:w="440" w:type="pct"/>
            <w:vAlign w:val="center"/>
          </w:tcPr>
          <w:p>
            <w:pPr>
              <w:widowControl/>
              <w:ind w:firstLine="0" w:firstLineChars="0"/>
              <w:rPr>
                <w:rFonts w:asciiTheme="minorEastAsia" w:hAnsiTheme="minorEastAsia" w:eastAsiaTheme="minorEastAsia"/>
                <w:sz w:val="20"/>
                <w:szCs w:val="20"/>
              </w:rPr>
            </w:pPr>
            <w:r>
              <w:rPr>
                <w:rFonts w:hint="eastAsia" w:asciiTheme="minorEastAsia" w:hAnsiTheme="minorEastAsia" w:eastAsiaTheme="minorEastAsia"/>
                <w:sz w:val="20"/>
                <w:szCs w:val="20"/>
              </w:rPr>
              <w:t>总量</w:t>
            </w:r>
          </w:p>
        </w:tc>
        <w:tc>
          <w:tcPr>
            <w:tcW w:w="370" w:type="pct"/>
            <w:gridSpan w:val="2"/>
            <w:vAlign w:val="center"/>
          </w:tcPr>
          <w:p>
            <w:pPr>
              <w:widowControl/>
              <w:ind w:firstLine="0" w:firstLineChars="0"/>
              <w:rPr>
                <w:rFonts w:asciiTheme="minorEastAsia" w:hAnsiTheme="minorEastAsia" w:eastAsiaTheme="minorEastAsia"/>
                <w:sz w:val="20"/>
                <w:szCs w:val="20"/>
              </w:rPr>
            </w:pPr>
            <w:r>
              <w:rPr>
                <w:rFonts w:hint="eastAsia" w:asciiTheme="minorEastAsia" w:hAnsiTheme="minorEastAsia" w:eastAsiaTheme="minorEastAsia"/>
                <w:sz w:val="20"/>
                <w:szCs w:val="20"/>
              </w:rPr>
              <w:t>增速</w:t>
            </w:r>
          </w:p>
        </w:tc>
        <w:tc>
          <w:tcPr>
            <w:tcW w:w="444" w:type="pct"/>
            <w:gridSpan w:val="2"/>
            <w:vAlign w:val="center"/>
          </w:tcPr>
          <w:p>
            <w:pPr>
              <w:widowControl/>
              <w:ind w:firstLine="0" w:firstLineChars="0"/>
              <w:rPr>
                <w:rFonts w:asciiTheme="minorEastAsia" w:hAnsiTheme="minorEastAsia" w:eastAsiaTheme="minorEastAsia"/>
                <w:sz w:val="20"/>
                <w:szCs w:val="20"/>
              </w:rPr>
            </w:pPr>
            <w:r>
              <w:rPr>
                <w:rFonts w:hint="eastAsia" w:asciiTheme="minorEastAsia" w:hAnsiTheme="minorEastAsia" w:eastAsiaTheme="minorEastAsia"/>
                <w:sz w:val="20"/>
                <w:szCs w:val="20"/>
              </w:rPr>
              <w:t>总量</w:t>
            </w:r>
          </w:p>
        </w:tc>
        <w:tc>
          <w:tcPr>
            <w:tcW w:w="399" w:type="pct"/>
            <w:vAlign w:val="center"/>
          </w:tcPr>
          <w:p>
            <w:pPr>
              <w:widowControl/>
              <w:ind w:firstLine="0" w:firstLineChars="0"/>
              <w:rPr>
                <w:rFonts w:asciiTheme="minorEastAsia" w:hAnsiTheme="minorEastAsia" w:eastAsiaTheme="minorEastAsia"/>
                <w:sz w:val="20"/>
                <w:szCs w:val="20"/>
              </w:rPr>
            </w:pPr>
            <w:r>
              <w:rPr>
                <w:rFonts w:hint="eastAsia" w:asciiTheme="minorEastAsia" w:hAnsiTheme="minorEastAsia" w:eastAsiaTheme="minorEastAsia"/>
                <w:sz w:val="20"/>
                <w:szCs w:val="20"/>
              </w:rPr>
              <w:t>年均增速</w:t>
            </w:r>
          </w:p>
        </w:tc>
        <w:tc>
          <w:tcPr>
            <w:tcW w:w="336" w:type="pct"/>
            <w:gridSpan w:val="2"/>
            <w:vAlign w:val="center"/>
          </w:tcPr>
          <w:p>
            <w:pPr>
              <w:widowControl/>
              <w:ind w:firstLine="0" w:firstLineChars="0"/>
              <w:rPr>
                <w:rFonts w:asciiTheme="minorEastAsia" w:hAnsiTheme="minorEastAsia" w:eastAsiaTheme="minorEastAsia"/>
                <w:sz w:val="20"/>
                <w:szCs w:val="20"/>
              </w:rPr>
            </w:pPr>
            <w:r>
              <w:rPr>
                <w:rFonts w:hint="eastAsia" w:asciiTheme="minorEastAsia" w:hAnsiTheme="minorEastAsia" w:eastAsiaTheme="minorEastAsia"/>
                <w:sz w:val="20"/>
                <w:szCs w:val="20"/>
              </w:rPr>
              <w:t>总量</w:t>
            </w:r>
          </w:p>
        </w:tc>
        <w:tc>
          <w:tcPr>
            <w:tcW w:w="372" w:type="pct"/>
            <w:vAlign w:val="center"/>
          </w:tcPr>
          <w:p>
            <w:pPr>
              <w:widowControl/>
              <w:ind w:firstLine="0" w:firstLineChars="0"/>
              <w:rPr>
                <w:rFonts w:asciiTheme="minorEastAsia" w:hAnsiTheme="minorEastAsia" w:eastAsiaTheme="minorEastAsia"/>
                <w:sz w:val="20"/>
                <w:szCs w:val="20"/>
              </w:rPr>
            </w:pPr>
            <w:r>
              <w:rPr>
                <w:rFonts w:hint="eastAsia" w:asciiTheme="minorEastAsia" w:hAnsiTheme="minorEastAsia" w:eastAsiaTheme="minorEastAsia"/>
                <w:sz w:val="20"/>
                <w:szCs w:val="20"/>
              </w:rPr>
              <w:t>年均增速</w:t>
            </w:r>
          </w:p>
        </w:tc>
        <w:tc>
          <w:tcPr>
            <w:tcW w:w="527" w:type="pct"/>
            <w:vMerge w:val="continue"/>
            <w:vAlign w:val="center"/>
          </w:tcPr>
          <w:p>
            <w:pPr>
              <w:widowControl/>
              <w:ind w:firstLine="400"/>
              <w:jc w:val="center"/>
              <w:rPr>
                <w:rFonts w:asciiTheme="minorEastAsia" w:hAnsiTheme="minorEastAsia" w:eastAsiaTheme="minorEastAsia"/>
                <w:sz w:val="20"/>
                <w:szCs w:val="20"/>
              </w:rPr>
            </w:pP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39" w:hRule="exact"/>
        </w:trPr>
        <w:tc>
          <w:tcPr>
            <w:tcW w:w="348" w:type="pct"/>
            <w:vMerge w:val="restart"/>
            <w:vAlign w:val="center"/>
          </w:tcPr>
          <w:p>
            <w:pPr>
              <w:widowControl/>
              <w:ind w:left="-96" w:leftChars="-30" w:right="-96" w:rightChars="-30" w:firstLine="0" w:firstLineChars="0"/>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高质量经济发展</w:t>
            </w:r>
          </w:p>
        </w:tc>
        <w:tc>
          <w:tcPr>
            <w:tcW w:w="1393" w:type="pct"/>
            <w:vAlign w:val="center"/>
          </w:tcPr>
          <w:p>
            <w:pPr>
              <w:widowControl/>
              <w:ind w:right="-96" w:rightChars="-30" w:firstLine="0" w:firstLineChars="0"/>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地区生产总值</w:t>
            </w:r>
          </w:p>
        </w:tc>
        <w:tc>
          <w:tcPr>
            <w:tcW w:w="366" w:type="pct"/>
            <w:vAlign w:val="center"/>
          </w:tcPr>
          <w:p>
            <w:pPr>
              <w:widowControl/>
              <w:ind w:left="-96" w:leftChars="-30"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亿元</w:t>
            </w:r>
          </w:p>
        </w:tc>
        <w:tc>
          <w:tcPr>
            <w:tcW w:w="440"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100</w:t>
            </w:r>
          </w:p>
        </w:tc>
        <w:tc>
          <w:tcPr>
            <w:tcW w:w="370" w:type="pct"/>
            <w:gridSpan w:val="2"/>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3.3</w:t>
            </w:r>
          </w:p>
        </w:tc>
        <w:tc>
          <w:tcPr>
            <w:tcW w:w="444" w:type="pct"/>
            <w:gridSpan w:val="2"/>
            <w:vAlign w:val="center"/>
          </w:tcPr>
          <w:p>
            <w:pPr>
              <w:widowControl/>
              <w:ind w:right="-96" w:rightChars="-30" w:firstLine="0" w:firstLineChars="0"/>
              <w:jc w:val="center"/>
              <w:rPr>
                <w:rFonts w:asciiTheme="minorEastAsia" w:hAnsiTheme="minorEastAsia" w:eastAsiaTheme="minorEastAsia"/>
                <w:spacing w:val="-8"/>
                <w:sz w:val="20"/>
                <w:szCs w:val="20"/>
              </w:rPr>
            </w:pPr>
          </w:p>
        </w:tc>
        <w:tc>
          <w:tcPr>
            <w:tcW w:w="399" w:type="pct"/>
            <w:vAlign w:val="center"/>
          </w:tcPr>
          <w:p>
            <w:pPr>
              <w:widowControl/>
              <w:ind w:left="-96" w:leftChars="-30"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6.5</w:t>
            </w:r>
          </w:p>
        </w:tc>
        <w:tc>
          <w:tcPr>
            <w:tcW w:w="336" w:type="pct"/>
            <w:gridSpan w:val="2"/>
            <w:vAlign w:val="center"/>
          </w:tcPr>
          <w:p>
            <w:pPr>
              <w:widowControl/>
              <w:ind w:left="-96" w:leftChars="-30" w:right="-96" w:rightChars="-30" w:firstLine="368"/>
              <w:jc w:val="center"/>
              <w:rPr>
                <w:rFonts w:asciiTheme="minorEastAsia" w:hAnsiTheme="minorEastAsia" w:eastAsiaTheme="minorEastAsia"/>
                <w:spacing w:val="-8"/>
                <w:sz w:val="20"/>
                <w:szCs w:val="20"/>
              </w:rPr>
            </w:pPr>
          </w:p>
        </w:tc>
        <w:tc>
          <w:tcPr>
            <w:tcW w:w="372" w:type="pct"/>
            <w:vAlign w:val="center"/>
          </w:tcPr>
          <w:p>
            <w:pPr>
              <w:widowControl/>
              <w:ind w:right="-96" w:rightChars="-30" w:firstLine="0" w:firstLineChars="0"/>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8.7</w:t>
            </w:r>
          </w:p>
        </w:tc>
        <w:tc>
          <w:tcPr>
            <w:tcW w:w="527"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发改局</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6" w:hRule="exact"/>
        </w:trPr>
        <w:tc>
          <w:tcPr>
            <w:tcW w:w="348" w:type="pct"/>
            <w:vMerge w:val="continue"/>
            <w:vAlign w:val="center"/>
          </w:tcPr>
          <w:p>
            <w:pPr>
              <w:widowControl/>
              <w:ind w:left="-96" w:leftChars="-30" w:right="-96" w:rightChars="-30" w:firstLine="368"/>
              <w:jc w:val="center"/>
              <w:rPr>
                <w:rFonts w:asciiTheme="minorEastAsia" w:hAnsiTheme="minorEastAsia" w:eastAsiaTheme="minorEastAsia"/>
                <w:spacing w:val="-8"/>
                <w:sz w:val="20"/>
                <w:szCs w:val="20"/>
              </w:rPr>
            </w:pPr>
          </w:p>
        </w:tc>
        <w:tc>
          <w:tcPr>
            <w:tcW w:w="1393" w:type="pct"/>
            <w:vAlign w:val="center"/>
          </w:tcPr>
          <w:p>
            <w:pPr>
              <w:widowControl/>
              <w:ind w:right="-96" w:rightChars="-30" w:firstLine="0" w:firstLineChars="0"/>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固定资产投资额</w:t>
            </w:r>
          </w:p>
        </w:tc>
        <w:tc>
          <w:tcPr>
            <w:tcW w:w="366" w:type="pct"/>
            <w:vAlign w:val="center"/>
          </w:tcPr>
          <w:p>
            <w:pPr>
              <w:widowControl/>
              <w:ind w:left="-96" w:leftChars="-30"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亿元</w:t>
            </w:r>
          </w:p>
        </w:tc>
        <w:tc>
          <w:tcPr>
            <w:tcW w:w="440"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15</w:t>
            </w:r>
          </w:p>
        </w:tc>
        <w:tc>
          <w:tcPr>
            <w:tcW w:w="370" w:type="pct"/>
            <w:gridSpan w:val="2"/>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10</w:t>
            </w:r>
          </w:p>
        </w:tc>
        <w:tc>
          <w:tcPr>
            <w:tcW w:w="444" w:type="pct"/>
            <w:gridSpan w:val="2"/>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30</w:t>
            </w:r>
          </w:p>
        </w:tc>
        <w:tc>
          <w:tcPr>
            <w:tcW w:w="399"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15</w:t>
            </w:r>
          </w:p>
        </w:tc>
        <w:tc>
          <w:tcPr>
            <w:tcW w:w="336" w:type="pct"/>
            <w:gridSpan w:val="2"/>
            <w:vAlign w:val="center"/>
          </w:tcPr>
          <w:p>
            <w:pPr>
              <w:widowControl/>
              <w:ind w:left="-96" w:leftChars="-30" w:right="-96" w:rightChars="-30" w:firstLine="368"/>
              <w:jc w:val="center"/>
              <w:rPr>
                <w:rFonts w:asciiTheme="minorEastAsia" w:hAnsiTheme="minorEastAsia" w:eastAsiaTheme="minorEastAsia"/>
                <w:spacing w:val="-8"/>
                <w:sz w:val="20"/>
                <w:szCs w:val="20"/>
              </w:rPr>
            </w:pPr>
          </w:p>
        </w:tc>
        <w:tc>
          <w:tcPr>
            <w:tcW w:w="372" w:type="pct"/>
            <w:vAlign w:val="center"/>
          </w:tcPr>
          <w:p>
            <w:pPr>
              <w:widowControl/>
              <w:ind w:right="-96" w:rightChars="-30" w:firstLine="0" w:firstLineChars="0"/>
              <w:rPr>
                <w:rFonts w:asciiTheme="minorEastAsia" w:hAnsiTheme="minorEastAsia" w:eastAsiaTheme="minorEastAsia"/>
                <w:spacing w:val="-8"/>
                <w:sz w:val="20"/>
                <w:szCs w:val="20"/>
              </w:rPr>
            </w:pPr>
          </w:p>
        </w:tc>
        <w:tc>
          <w:tcPr>
            <w:tcW w:w="527"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发改局</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6" w:hRule="exact"/>
        </w:trPr>
        <w:tc>
          <w:tcPr>
            <w:tcW w:w="348" w:type="pct"/>
            <w:vMerge w:val="continue"/>
            <w:vAlign w:val="center"/>
          </w:tcPr>
          <w:p>
            <w:pPr>
              <w:widowControl/>
              <w:ind w:left="-96" w:leftChars="-30" w:right="-96" w:rightChars="-30" w:firstLine="368"/>
              <w:jc w:val="center"/>
              <w:rPr>
                <w:rFonts w:asciiTheme="minorEastAsia" w:hAnsiTheme="minorEastAsia" w:eastAsiaTheme="minorEastAsia"/>
                <w:spacing w:val="-8"/>
                <w:sz w:val="20"/>
                <w:szCs w:val="20"/>
              </w:rPr>
            </w:pPr>
          </w:p>
        </w:tc>
        <w:tc>
          <w:tcPr>
            <w:tcW w:w="1393" w:type="pct"/>
            <w:vAlign w:val="center"/>
          </w:tcPr>
          <w:p>
            <w:pPr>
              <w:widowControl/>
              <w:ind w:right="-96" w:rightChars="-30" w:firstLine="0" w:firstLineChars="0"/>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地方财政一般公共预算收入</w:t>
            </w:r>
          </w:p>
        </w:tc>
        <w:tc>
          <w:tcPr>
            <w:tcW w:w="366" w:type="pct"/>
            <w:vAlign w:val="center"/>
          </w:tcPr>
          <w:p>
            <w:pPr>
              <w:widowControl/>
              <w:ind w:left="-96" w:leftChars="-30"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亿元</w:t>
            </w:r>
          </w:p>
        </w:tc>
        <w:tc>
          <w:tcPr>
            <w:tcW w:w="440"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8.24</w:t>
            </w:r>
          </w:p>
        </w:tc>
        <w:tc>
          <w:tcPr>
            <w:tcW w:w="370" w:type="pct"/>
            <w:gridSpan w:val="2"/>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-2.2</w:t>
            </w:r>
          </w:p>
        </w:tc>
        <w:tc>
          <w:tcPr>
            <w:tcW w:w="444" w:type="pct"/>
            <w:gridSpan w:val="2"/>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10.5</w:t>
            </w:r>
          </w:p>
        </w:tc>
        <w:tc>
          <w:tcPr>
            <w:tcW w:w="399"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5</w:t>
            </w:r>
          </w:p>
        </w:tc>
        <w:tc>
          <w:tcPr>
            <w:tcW w:w="336" w:type="pct"/>
            <w:gridSpan w:val="2"/>
            <w:vAlign w:val="center"/>
          </w:tcPr>
          <w:p>
            <w:pPr>
              <w:widowControl/>
              <w:ind w:left="-96" w:leftChars="-30" w:right="-96" w:rightChars="-30" w:firstLine="368"/>
              <w:jc w:val="center"/>
              <w:rPr>
                <w:rFonts w:asciiTheme="minorEastAsia" w:hAnsiTheme="minorEastAsia" w:eastAsiaTheme="minorEastAsia"/>
                <w:color w:val="FF0000"/>
                <w:spacing w:val="-8"/>
                <w:sz w:val="20"/>
                <w:szCs w:val="20"/>
              </w:rPr>
            </w:pPr>
          </w:p>
        </w:tc>
        <w:tc>
          <w:tcPr>
            <w:tcW w:w="372" w:type="pct"/>
            <w:vAlign w:val="center"/>
          </w:tcPr>
          <w:p>
            <w:pPr>
              <w:widowControl/>
              <w:ind w:left="-96" w:leftChars="-30" w:right="-96" w:rightChars="-30" w:firstLine="368"/>
              <w:jc w:val="center"/>
              <w:rPr>
                <w:rFonts w:asciiTheme="minorEastAsia" w:hAnsiTheme="minorEastAsia" w:eastAsiaTheme="minorEastAsia"/>
                <w:color w:val="FF0000"/>
                <w:spacing w:val="-8"/>
                <w:sz w:val="20"/>
                <w:szCs w:val="20"/>
              </w:rPr>
            </w:pPr>
          </w:p>
        </w:tc>
        <w:tc>
          <w:tcPr>
            <w:tcW w:w="527"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财政局</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4" w:hRule="exact"/>
        </w:trPr>
        <w:tc>
          <w:tcPr>
            <w:tcW w:w="348" w:type="pct"/>
            <w:vMerge w:val="continue"/>
            <w:vAlign w:val="center"/>
          </w:tcPr>
          <w:p>
            <w:pPr>
              <w:widowControl/>
              <w:ind w:left="-96" w:leftChars="-30" w:right="-96" w:rightChars="-30" w:firstLine="368"/>
              <w:jc w:val="center"/>
              <w:rPr>
                <w:rFonts w:asciiTheme="minorEastAsia" w:hAnsiTheme="minorEastAsia" w:eastAsiaTheme="minorEastAsia"/>
                <w:spacing w:val="-8"/>
                <w:sz w:val="20"/>
                <w:szCs w:val="20"/>
              </w:rPr>
            </w:pPr>
          </w:p>
        </w:tc>
        <w:tc>
          <w:tcPr>
            <w:tcW w:w="1393" w:type="pct"/>
            <w:vAlign w:val="center"/>
          </w:tcPr>
          <w:p>
            <w:pPr>
              <w:widowControl/>
              <w:ind w:right="-96" w:rightChars="-30" w:firstLine="0" w:firstLineChars="0"/>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实际利用外资</w:t>
            </w:r>
          </w:p>
        </w:tc>
        <w:tc>
          <w:tcPr>
            <w:tcW w:w="366" w:type="pct"/>
            <w:vAlign w:val="center"/>
          </w:tcPr>
          <w:p>
            <w:pPr>
              <w:widowControl/>
              <w:ind w:left="-96" w:leftChars="-30"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万美元</w:t>
            </w:r>
          </w:p>
        </w:tc>
        <w:tc>
          <w:tcPr>
            <w:tcW w:w="440" w:type="pct"/>
            <w:vAlign w:val="center"/>
          </w:tcPr>
          <w:p>
            <w:pPr>
              <w:adjustRightInd w:val="0"/>
              <w:ind w:right="-96" w:rightChars="-30" w:firstLine="0" w:firstLineChars="0"/>
              <w:jc w:val="center"/>
              <w:textAlignment w:val="baseline"/>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0</w:t>
            </w:r>
          </w:p>
        </w:tc>
        <w:tc>
          <w:tcPr>
            <w:tcW w:w="370" w:type="pct"/>
            <w:gridSpan w:val="2"/>
            <w:vAlign w:val="center"/>
          </w:tcPr>
          <w:p>
            <w:pPr>
              <w:adjustRightInd w:val="0"/>
              <w:ind w:right="-96" w:rightChars="-30" w:firstLine="0" w:firstLineChars="0"/>
              <w:jc w:val="center"/>
              <w:textAlignment w:val="baseline"/>
              <w:rPr>
                <w:rFonts w:asciiTheme="minorEastAsia" w:hAnsiTheme="minorEastAsia" w:eastAsiaTheme="minorEastAsia"/>
                <w:spacing w:val="-8"/>
                <w:sz w:val="20"/>
                <w:szCs w:val="20"/>
              </w:rPr>
            </w:pPr>
          </w:p>
        </w:tc>
        <w:tc>
          <w:tcPr>
            <w:tcW w:w="444" w:type="pct"/>
            <w:gridSpan w:val="2"/>
            <w:vAlign w:val="center"/>
          </w:tcPr>
          <w:p>
            <w:pPr>
              <w:adjustRightInd w:val="0"/>
              <w:ind w:left="-96" w:leftChars="-30" w:right="-96" w:rightChars="-30" w:firstLine="0" w:firstLineChars="0"/>
              <w:jc w:val="center"/>
              <w:textAlignment w:val="baseline"/>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300</w:t>
            </w:r>
          </w:p>
        </w:tc>
        <w:tc>
          <w:tcPr>
            <w:tcW w:w="399" w:type="pct"/>
            <w:vAlign w:val="center"/>
          </w:tcPr>
          <w:p>
            <w:pPr>
              <w:adjustRightInd w:val="0"/>
              <w:ind w:left="-96" w:leftChars="-30" w:right="-96" w:rightChars="-30" w:firstLine="368"/>
              <w:jc w:val="center"/>
              <w:textAlignment w:val="baseline"/>
              <w:rPr>
                <w:rFonts w:asciiTheme="minorEastAsia" w:hAnsiTheme="minorEastAsia" w:eastAsiaTheme="minorEastAsia"/>
                <w:spacing w:val="-8"/>
                <w:sz w:val="20"/>
                <w:szCs w:val="20"/>
              </w:rPr>
            </w:pPr>
          </w:p>
        </w:tc>
        <w:tc>
          <w:tcPr>
            <w:tcW w:w="336" w:type="pct"/>
            <w:gridSpan w:val="2"/>
            <w:vAlign w:val="center"/>
          </w:tcPr>
          <w:p>
            <w:pPr>
              <w:adjustRightInd w:val="0"/>
              <w:ind w:left="-96" w:leftChars="-30" w:right="-96" w:rightChars="-30" w:firstLine="0" w:firstLineChars="0"/>
              <w:jc w:val="center"/>
              <w:textAlignment w:val="baseline"/>
              <w:rPr>
                <w:rFonts w:asciiTheme="minorEastAsia" w:hAnsiTheme="minorEastAsia" w:eastAsiaTheme="minorEastAsia"/>
                <w:spacing w:val="-8"/>
                <w:sz w:val="20"/>
                <w:szCs w:val="20"/>
              </w:rPr>
            </w:pPr>
          </w:p>
        </w:tc>
        <w:tc>
          <w:tcPr>
            <w:tcW w:w="372" w:type="pct"/>
            <w:vAlign w:val="center"/>
          </w:tcPr>
          <w:p>
            <w:pPr>
              <w:adjustRightInd w:val="0"/>
              <w:ind w:left="-96" w:leftChars="-30" w:right="-96" w:rightChars="-30" w:firstLine="368"/>
              <w:jc w:val="center"/>
              <w:textAlignment w:val="baseline"/>
              <w:rPr>
                <w:rFonts w:asciiTheme="minorEastAsia" w:hAnsiTheme="minorEastAsia" w:eastAsiaTheme="minorEastAsia"/>
                <w:spacing w:val="-8"/>
                <w:sz w:val="20"/>
                <w:szCs w:val="20"/>
              </w:rPr>
            </w:pPr>
          </w:p>
        </w:tc>
        <w:tc>
          <w:tcPr>
            <w:tcW w:w="527" w:type="pct"/>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商务局</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95" w:hRule="exact"/>
        </w:trPr>
        <w:tc>
          <w:tcPr>
            <w:tcW w:w="348" w:type="pct"/>
            <w:vMerge w:val="continue"/>
            <w:vAlign w:val="center"/>
          </w:tcPr>
          <w:p>
            <w:pPr>
              <w:widowControl/>
              <w:ind w:left="-96" w:leftChars="-30" w:right="-96" w:rightChars="-30" w:firstLine="368"/>
              <w:jc w:val="center"/>
              <w:rPr>
                <w:rFonts w:asciiTheme="minorEastAsia" w:hAnsiTheme="minorEastAsia" w:eastAsiaTheme="minorEastAsia"/>
                <w:spacing w:val="-8"/>
                <w:sz w:val="20"/>
                <w:szCs w:val="20"/>
              </w:rPr>
            </w:pPr>
          </w:p>
        </w:tc>
        <w:tc>
          <w:tcPr>
            <w:tcW w:w="1393" w:type="pct"/>
            <w:vAlign w:val="center"/>
          </w:tcPr>
          <w:p>
            <w:pPr>
              <w:widowControl/>
              <w:ind w:right="-96" w:rightChars="-30" w:firstLine="0" w:firstLineChars="0"/>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实际到位内资</w:t>
            </w:r>
          </w:p>
        </w:tc>
        <w:tc>
          <w:tcPr>
            <w:tcW w:w="366" w:type="pct"/>
            <w:vAlign w:val="center"/>
          </w:tcPr>
          <w:p>
            <w:pPr>
              <w:widowControl/>
              <w:ind w:left="-96" w:leftChars="-30"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亿元</w:t>
            </w:r>
          </w:p>
        </w:tc>
        <w:tc>
          <w:tcPr>
            <w:tcW w:w="440" w:type="pct"/>
            <w:vAlign w:val="center"/>
          </w:tcPr>
          <w:p>
            <w:pPr>
              <w:adjustRightInd w:val="0"/>
              <w:ind w:right="-96" w:rightChars="-30" w:firstLine="0" w:firstLineChars="0"/>
              <w:jc w:val="center"/>
              <w:textAlignment w:val="baseline"/>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15</w:t>
            </w:r>
          </w:p>
        </w:tc>
        <w:tc>
          <w:tcPr>
            <w:tcW w:w="370" w:type="pct"/>
            <w:gridSpan w:val="2"/>
            <w:vAlign w:val="center"/>
          </w:tcPr>
          <w:p>
            <w:pPr>
              <w:adjustRightInd w:val="0"/>
              <w:ind w:right="-96" w:rightChars="-30" w:firstLine="0" w:firstLineChars="0"/>
              <w:jc w:val="center"/>
              <w:textAlignment w:val="baseline"/>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10</w:t>
            </w:r>
          </w:p>
        </w:tc>
        <w:tc>
          <w:tcPr>
            <w:tcW w:w="444" w:type="pct"/>
            <w:gridSpan w:val="2"/>
            <w:vAlign w:val="center"/>
          </w:tcPr>
          <w:p>
            <w:pPr>
              <w:adjustRightInd w:val="0"/>
              <w:ind w:right="-96" w:rightChars="-30" w:firstLine="0" w:firstLineChars="0"/>
              <w:jc w:val="center"/>
              <w:textAlignment w:val="baseline"/>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25</w:t>
            </w:r>
          </w:p>
        </w:tc>
        <w:tc>
          <w:tcPr>
            <w:tcW w:w="399" w:type="pct"/>
            <w:vAlign w:val="center"/>
          </w:tcPr>
          <w:p>
            <w:pPr>
              <w:adjustRightInd w:val="0"/>
              <w:ind w:right="-96" w:rightChars="-30" w:firstLine="0" w:firstLineChars="0"/>
              <w:jc w:val="center"/>
              <w:textAlignment w:val="baseline"/>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10</w:t>
            </w:r>
          </w:p>
        </w:tc>
        <w:tc>
          <w:tcPr>
            <w:tcW w:w="336" w:type="pct"/>
            <w:gridSpan w:val="2"/>
            <w:vAlign w:val="center"/>
          </w:tcPr>
          <w:p>
            <w:pPr>
              <w:adjustRightInd w:val="0"/>
              <w:ind w:right="-96" w:rightChars="-30" w:firstLine="0" w:firstLineChars="0"/>
              <w:jc w:val="center"/>
              <w:textAlignment w:val="baseline"/>
              <w:rPr>
                <w:rFonts w:asciiTheme="minorEastAsia" w:hAnsiTheme="minorEastAsia" w:eastAsiaTheme="minorEastAsia"/>
                <w:spacing w:val="-8"/>
                <w:sz w:val="20"/>
                <w:szCs w:val="20"/>
              </w:rPr>
            </w:pPr>
          </w:p>
        </w:tc>
        <w:tc>
          <w:tcPr>
            <w:tcW w:w="372" w:type="pct"/>
            <w:vAlign w:val="center"/>
          </w:tcPr>
          <w:p>
            <w:pPr>
              <w:adjustRightInd w:val="0"/>
              <w:ind w:right="-96" w:rightChars="-30" w:firstLine="0" w:firstLineChars="0"/>
              <w:jc w:val="center"/>
              <w:textAlignment w:val="baseline"/>
              <w:rPr>
                <w:rFonts w:asciiTheme="minorEastAsia" w:hAnsiTheme="minorEastAsia" w:eastAsiaTheme="minorEastAsia"/>
                <w:spacing w:val="-8"/>
                <w:sz w:val="20"/>
                <w:szCs w:val="20"/>
              </w:rPr>
            </w:pPr>
          </w:p>
        </w:tc>
        <w:tc>
          <w:tcPr>
            <w:tcW w:w="527" w:type="pct"/>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招商中心</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6" w:hRule="exact"/>
        </w:trPr>
        <w:tc>
          <w:tcPr>
            <w:tcW w:w="348" w:type="pct"/>
            <w:vMerge w:val="continue"/>
            <w:vAlign w:val="center"/>
          </w:tcPr>
          <w:p>
            <w:pPr>
              <w:widowControl/>
              <w:ind w:left="-96" w:leftChars="-30" w:right="-96" w:rightChars="-30" w:firstLine="368"/>
              <w:jc w:val="center"/>
              <w:rPr>
                <w:rFonts w:asciiTheme="minorEastAsia" w:hAnsiTheme="minorEastAsia" w:eastAsiaTheme="minorEastAsia"/>
                <w:spacing w:val="-8"/>
                <w:sz w:val="20"/>
                <w:szCs w:val="20"/>
              </w:rPr>
            </w:pPr>
          </w:p>
        </w:tc>
        <w:tc>
          <w:tcPr>
            <w:tcW w:w="1393" w:type="pct"/>
            <w:vAlign w:val="center"/>
          </w:tcPr>
          <w:p>
            <w:pPr>
              <w:widowControl/>
              <w:ind w:right="-96" w:rightChars="-30" w:firstLine="0" w:firstLineChars="0"/>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外贸进出口总额</w:t>
            </w:r>
          </w:p>
        </w:tc>
        <w:tc>
          <w:tcPr>
            <w:tcW w:w="366" w:type="pct"/>
            <w:vAlign w:val="center"/>
          </w:tcPr>
          <w:p>
            <w:pPr>
              <w:widowControl/>
              <w:ind w:left="-96" w:leftChars="-30"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亿元</w:t>
            </w:r>
          </w:p>
        </w:tc>
        <w:tc>
          <w:tcPr>
            <w:tcW w:w="440" w:type="pct"/>
            <w:vAlign w:val="center"/>
          </w:tcPr>
          <w:p>
            <w:pPr>
              <w:adjustRightInd w:val="0"/>
              <w:ind w:left="-96" w:leftChars="-30" w:right="-96" w:rightChars="-30" w:firstLine="0" w:firstLineChars="0"/>
              <w:jc w:val="center"/>
              <w:textAlignment w:val="baseline"/>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1.4376</w:t>
            </w:r>
          </w:p>
        </w:tc>
        <w:tc>
          <w:tcPr>
            <w:tcW w:w="370" w:type="pct"/>
            <w:gridSpan w:val="2"/>
            <w:vAlign w:val="center"/>
          </w:tcPr>
          <w:p>
            <w:pPr>
              <w:adjustRightInd w:val="0"/>
              <w:ind w:right="-96" w:rightChars="-30" w:firstLine="0" w:firstLineChars="0"/>
              <w:jc w:val="center"/>
              <w:textAlignment w:val="baseline"/>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7.3</w:t>
            </w:r>
          </w:p>
        </w:tc>
        <w:tc>
          <w:tcPr>
            <w:tcW w:w="444" w:type="pct"/>
            <w:gridSpan w:val="2"/>
            <w:vAlign w:val="center"/>
          </w:tcPr>
          <w:p>
            <w:pPr>
              <w:adjustRightInd w:val="0"/>
              <w:ind w:right="-96" w:rightChars="-30" w:firstLine="0" w:firstLineChars="0"/>
              <w:jc w:val="center"/>
              <w:textAlignment w:val="baseline"/>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2.534</w:t>
            </w:r>
          </w:p>
        </w:tc>
        <w:tc>
          <w:tcPr>
            <w:tcW w:w="399" w:type="pct"/>
            <w:vAlign w:val="center"/>
          </w:tcPr>
          <w:p>
            <w:pPr>
              <w:adjustRightInd w:val="0"/>
              <w:ind w:right="-96" w:rightChars="-30" w:firstLine="0" w:firstLineChars="0"/>
              <w:jc w:val="center"/>
              <w:textAlignment w:val="baseline"/>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12</w:t>
            </w:r>
          </w:p>
        </w:tc>
        <w:tc>
          <w:tcPr>
            <w:tcW w:w="336" w:type="pct"/>
            <w:gridSpan w:val="2"/>
            <w:vAlign w:val="center"/>
          </w:tcPr>
          <w:p>
            <w:pPr>
              <w:adjustRightInd w:val="0"/>
              <w:ind w:left="-96" w:leftChars="-30" w:right="-96" w:rightChars="-30" w:firstLine="0" w:firstLineChars="0"/>
              <w:jc w:val="center"/>
              <w:textAlignment w:val="baseline"/>
              <w:rPr>
                <w:rFonts w:asciiTheme="minorEastAsia" w:hAnsiTheme="minorEastAsia" w:eastAsiaTheme="minorEastAsia"/>
                <w:spacing w:val="-8"/>
                <w:sz w:val="20"/>
                <w:szCs w:val="20"/>
              </w:rPr>
            </w:pPr>
          </w:p>
        </w:tc>
        <w:tc>
          <w:tcPr>
            <w:tcW w:w="372" w:type="pct"/>
            <w:vAlign w:val="center"/>
          </w:tcPr>
          <w:p>
            <w:pPr>
              <w:adjustRightInd w:val="0"/>
              <w:ind w:right="-96" w:rightChars="-30" w:firstLine="0" w:firstLineChars="0"/>
              <w:jc w:val="center"/>
              <w:textAlignment w:val="baseline"/>
              <w:rPr>
                <w:rFonts w:asciiTheme="minorEastAsia" w:hAnsiTheme="minorEastAsia" w:eastAsiaTheme="minorEastAsia"/>
                <w:spacing w:val="-8"/>
                <w:sz w:val="20"/>
                <w:szCs w:val="20"/>
              </w:rPr>
            </w:pPr>
          </w:p>
        </w:tc>
        <w:tc>
          <w:tcPr>
            <w:tcW w:w="527" w:type="pct"/>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商务局</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93" w:hRule="exact"/>
        </w:trPr>
        <w:tc>
          <w:tcPr>
            <w:tcW w:w="348" w:type="pct"/>
            <w:vMerge w:val="restart"/>
            <w:vAlign w:val="center"/>
          </w:tcPr>
          <w:p>
            <w:pPr>
              <w:widowControl/>
              <w:ind w:left="-96" w:leftChars="-30" w:right="-96" w:rightChars="-30" w:firstLine="0" w:firstLineChars="0"/>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高质量创新发展</w:t>
            </w:r>
          </w:p>
        </w:tc>
        <w:tc>
          <w:tcPr>
            <w:tcW w:w="1393" w:type="pct"/>
            <w:vAlign w:val="center"/>
          </w:tcPr>
          <w:p>
            <w:pPr>
              <w:widowControl/>
              <w:ind w:left="-96" w:leftChars="-30" w:right="-96" w:rightChars="-30" w:firstLine="0" w:firstLineChars="0"/>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研究与实验发展（R&amp;D)经费投入强度</w:t>
            </w:r>
          </w:p>
        </w:tc>
        <w:tc>
          <w:tcPr>
            <w:tcW w:w="366"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w:t>
            </w:r>
          </w:p>
        </w:tc>
        <w:tc>
          <w:tcPr>
            <w:tcW w:w="810" w:type="pct"/>
            <w:gridSpan w:val="3"/>
            <w:vAlign w:val="center"/>
          </w:tcPr>
          <w:p>
            <w:pPr>
              <w:widowControl/>
              <w:ind w:left="-96" w:leftChars="-30" w:right="-96" w:rightChars="-30" w:firstLine="368"/>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1.1</w:t>
            </w:r>
          </w:p>
        </w:tc>
        <w:tc>
          <w:tcPr>
            <w:tcW w:w="843"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1.5</w:t>
            </w:r>
          </w:p>
        </w:tc>
        <w:tc>
          <w:tcPr>
            <w:tcW w:w="709"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1.6</w:t>
            </w:r>
          </w:p>
        </w:tc>
        <w:tc>
          <w:tcPr>
            <w:tcW w:w="527" w:type="pct"/>
            <w:vAlign w:val="center"/>
          </w:tcPr>
          <w:p>
            <w:pPr>
              <w:widowControl/>
              <w:ind w:right="-96" w:rightChars="-30" w:firstLine="0" w:firstLineChars="0"/>
              <w:jc w:val="center"/>
              <w:rPr>
                <w:rFonts w:asciiTheme="minorEastAsia" w:hAnsiTheme="minorEastAsia" w:eastAsiaTheme="minorEastAsia"/>
                <w:spacing w:val="-8"/>
                <w:sz w:val="20"/>
                <w:szCs w:val="20"/>
                <w:highlight w:val="yellow"/>
              </w:rPr>
            </w:pPr>
            <w:r>
              <w:rPr>
                <w:rFonts w:hint="eastAsia" w:asciiTheme="minorEastAsia" w:hAnsiTheme="minorEastAsia" w:eastAsiaTheme="minorEastAsia"/>
                <w:spacing w:val="-8"/>
                <w:sz w:val="20"/>
                <w:szCs w:val="20"/>
              </w:rPr>
              <w:t>科技局</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6" w:hRule="exact"/>
        </w:trPr>
        <w:tc>
          <w:tcPr>
            <w:tcW w:w="348" w:type="pct"/>
            <w:vMerge w:val="continue"/>
            <w:vAlign w:val="center"/>
          </w:tcPr>
          <w:p>
            <w:pPr>
              <w:widowControl/>
              <w:ind w:left="-96" w:leftChars="-30" w:right="-96" w:rightChars="-30" w:firstLine="368"/>
              <w:jc w:val="center"/>
              <w:rPr>
                <w:rFonts w:asciiTheme="minorEastAsia" w:hAnsiTheme="minorEastAsia" w:eastAsiaTheme="minorEastAsia"/>
                <w:spacing w:val="-8"/>
                <w:sz w:val="20"/>
                <w:szCs w:val="20"/>
              </w:rPr>
            </w:pPr>
          </w:p>
        </w:tc>
        <w:tc>
          <w:tcPr>
            <w:tcW w:w="1393" w:type="pct"/>
            <w:vAlign w:val="center"/>
          </w:tcPr>
          <w:p>
            <w:pPr>
              <w:widowControl/>
              <w:ind w:right="-96" w:rightChars="-30" w:firstLine="0" w:firstLineChars="0"/>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高新技术产品产值</w:t>
            </w:r>
          </w:p>
        </w:tc>
        <w:tc>
          <w:tcPr>
            <w:tcW w:w="366" w:type="pct"/>
            <w:vAlign w:val="center"/>
          </w:tcPr>
          <w:p>
            <w:pPr>
              <w:widowControl/>
              <w:ind w:left="-96" w:leftChars="-30"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亿元</w:t>
            </w:r>
          </w:p>
        </w:tc>
        <w:tc>
          <w:tcPr>
            <w:tcW w:w="810"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18.5</w:t>
            </w:r>
          </w:p>
        </w:tc>
        <w:tc>
          <w:tcPr>
            <w:tcW w:w="843"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37</w:t>
            </w:r>
          </w:p>
        </w:tc>
        <w:tc>
          <w:tcPr>
            <w:tcW w:w="709"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40</w:t>
            </w:r>
          </w:p>
        </w:tc>
        <w:tc>
          <w:tcPr>
            <w:tcW w:w="527" w:type="pct"/>
            <w:vAlign w:val="center"/>
          </w:tcPr>
          <w:p>
            <w:pPr>
              <w:widowControl/>
              <w:ind w:right="-96" w:rightChars="-30" w:firstLine="0" w:firstLineChars="0"/>
              <w:jc w:val="center"/>
              <w:rPr>
                <w:rFonts w:asciiTheme="minorEastAsia" w:hAnsiTheme="minorEastAsia" w:eastAsiaTheme="minorEastAsia"/>
                <w:spacing w:val="-8"/>
                <w:sz w:val="20"/>
                <w:szCs w:val="20"/>
                <w:highlight w:val="yellow"/>
              </w:rPr>
            </w:pPr>
            <w:r>
              <w:rPr>
                <w:rFonts w:hint="eastAsia" w:asciiTheme="minorEastAsia" w:hAnsiTheme="minorEastAsia" w:eastAsiaTheme="minorEastAsia"/>
                <w:spacing w:val="-8"/>
                <w:sz w:val="20"/>
                <w:szCs w:val="20"/>
              </w:rPr>
              <w:t>科技局</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6" w:hRule="exact"/>
        </w:trPr>
        <w:tc>
          <w:tcPr>
            <w:tcW w:w="348" w:type="pct"/>
            <w:vMerge w:val="continue"/>
            <w:vAlign w:val="center"/>
          </w:tcPr>
          <w:p>
            <w:pPr>
              <w:widowControl/>
              <w:ind w:left="-96" w:leftChars="-30" w:right="-96" w:rightChars="-30" w:firstLine="368"/>
              <w:jc w:val="left"/>
              <w:rPr>
                <w:rFonts w:asciiTheme="minorEastAsia" w:hAnsiTheme="minorEastAsia" w:eastAsiaTheme="minorEastAsia"/>
                <w:spacing w:val="-8"/>
                <w:sz w:val="20"/>
                <w:szCs w:val="20"/>
              </w:rPr>
            </w:pPr>
          </w:p>
        </w:tc>
        <w:tc>
          <w:tcPr>
            <w:tcW w:w="1393" w:type="pct"/>
            <w:vAlign w:val="center"/>
          </w:tcPr>
          <w:p>
            <w:pPr>
              <w:widowControl/>
              <w:ind w:right="-96" w:rightChars="-30" w:firstLine="0" w:firstLineChars="0"/>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常住人口城镇化率</w:t>
            </w:r>
          </w:p>
        </w:tc>
        <w:tc>
          <w:tcPr>
            <w:tcW w:w="366"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w:t>
            </w:r>
          </w:p>
        </w:tc>
        <w:tc>
          <w:tcPr>
            <w:tcW w:w="810"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86.9</w:t>
            </w:r>
          </w:p>
        </w:tc>
        <w:tc>
          <w:tcPr>
            <w:tcW w:w="843"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89</w:t>
            </w:r>
          </w:p>
        </w:tc>
        <w:tc>
          <w:tcPr>
            <w:tcW w:w="709" w:type="pct"/>
            <w:gridSpan w:val="3"/>
            <w:vAlign w:val="center"/>
          </w:tcPr>
          <w:p>
            <w:pPr>
              <w:widowControl/>
              <w:ind w:left="-96" w:leftChars="-30" w:right="-96" w:rightChars="-30" w:firstLine="368"/>
              <w:jc w:val="center"/>
              <w:rPr>
                <w:rFonts w:asciiTheme="minorEastAsia" w:hAnsiTheme="minorEastAsia" w:eastAsiaTheme="minorEastAsia"/>
                <w:spacing w:val="-8"/>
                <w:sz w:val="20"/>
                <w:szCs w:val="20"/>
              </w:rPr>
            </w:pPr>
          </w:p>
        </w:tc>
        <w:tc>
          <w:tcPr>
            <w:tcW w:w="527"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住建局</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54" w:hRule="exact"/>
        </w:trPr>
        <w:tc>
          <w:tcPr>
            <w:tcW w:w="348" w:type="pct"/>
            <w:vMerge w:val="restart"/>
            <w:vAlign w:val="center"/>
          </w:tcPr>
          <w:p>
            <w:pPr>
              <w:widowControl/>
              <w:ind w:left="-96" w:leftChars="-30" w:right="-96" w:rightChars="-30" w:firstLine="0" w:firstLineChars="0"/>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高质量生态发展</w:t>
            </w:r>
          </w:p>
        </w:tc>
        <w:tc>
          <w:tcPr>
            <w:tcW w:w="1393" w:type="pct"/>
            <w:vAlign w:val="center"/>
          </w:tcPr>
          <w:p>
            <w:pPr>
              <w:widowControl/>
              <w:ind w:right="-96" w:rightChars="-30" w:firstLine="0" w:firstLineChars="0"/>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单位地区生产总值能源消耗降低（%）</w:t>
            </w:r>
          </w:p>
        </w:tc>
        <w:tc>
          <w:tcPr>
            <w:tcW w:w="366"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w:t>
            </w:r>
          </w:p>
        </w:tc>
        <w:tc>
          <w:tcPr>
            <w:tcW w:w="810" w:type="pct"/>
            <w:gridSpan w:val="3"/>
            <w:vAlign w:val="center"/>
          </w:tcPr>
          <w:p>
            <w:pPr>
              <w:widowControl/>
              <w:ind w:left="-96" w:leftChars="-30" w:right="-96" w:rightChars="-30" w:firstLine="368"/>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w:t>
            </w:r>
          </w:p>
        </w:tc>
        <w:tc>
          <w:tcPr>
            <w:tcW w:w="420"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14</w:t>
            </w:r>
          </w:p>
        </w:tc>
        <w:tc>
          <w:tcPr>
            <w:tcW w:w="422" w:type="pct"/>
            <w:gridSpan w:val="2"/>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3</w:t>
            </w:r>
          </w:p>
        </w:tc>
        <w:tc>
          <w:tcPr>
            <w:tcW w:w="709"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p>
        </w:tc>
        <w:tc>
          <w:tcPr>
            <w:tcW w:w="527"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发改局</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35" w:hRule="exact"/>
        </w:trPr>
        <w:tc>
          <w:tcPr>
            <w:tcW w:w="348" w:type="pct"/>
            <w:vMerge w:val="continue"/>
            <w:vAlign w:val="center"/>
          </w:tcPr>
          <w:p>
            <w:pPr>
              <w:widowControl/>
              <w:ind w:left="-96" w:leftChars="-30" w:right="-96" w:rightChars="-30" w:firstLine="368"/>
              <w:jc w:val="center"/>
              <w:rPr>
                <w:rFonts w:asciiTheme="minorEastAsia" w:hAnsiTheme="minorEastAsia" w:eastAsiaTheme="minorEastAsia"/>
                <w:spacing w:val="-8"/>
                <w:sz w:val="20"/>
                <w:szCs w:val="20"/>
              </w:rPr>
            </w:pPr>
          </w:p>
        </w:tc>
        <w:tc>
          <w:tcPr>
            <w:tcW w:w="1393" w:type="pct"/>
            <w:vAlign w:val="center"/>
          </w:tcPr>
          <w:p>
            <w:pPr>
              <w:widowControl/>
              <w:ind w:right="-96" w:rightChars="-30" w:firstLine="0" w:firstLineChars="0"/>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森林覆盖率</w:t>
            </w:r>
          </w:p>
        </w:tc>
        <w:tc>
          <w:tcPr>
            <w:tcW w:w="366"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w:t>
            </w:r>
          </w:p>
        </w:tc>
        <w:tc>
          <w:tcPr>
            <w:tcW w:w="810"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11.51</w:t>
            </w:r>
          </w:p>
        </w:tc>
        <w:tc>
          <w:tcPr>
            <w:tcW w:w="843"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12.1</w:t>
            </w:r>
          </w:p>
        </w:tc>
        <w:tc>
          <w:tcPr>
            <w:tcW w:w="709" w:type="pct"/>
            <w:gridSpan w:val="3"/>
            <w:vAlign w:val="center"/>
          </w:tcPr>
          <w:p>
            <w:pPr>
              <w:widowControl/>
              <w:ind w:left="-96" w:leftChars="-30" w:right="-96" w:rightChars="-30" w:firstLine="368"/>
              <w:jc w:val="center"/>
              <w:rPr>
                <w:rFonts w:asciiTheme="minorEastAsia" w:hAnsiTheme="minorEastAsia" w:eastAsiaTheme="minorEastAsia"/>
                <w:spacing w:val="-8"/>
                <w:sz w:val="20"/>
                <w:szCs w:val="20"/>
              </w:rPr>
            </w:pPr>
          </w:p>
        </w:tc>
        <w:tc>
          <w:tcPr>
            <w:tcW w:w="527" w:type="pct"/>
            <w:vAlign w:val="center"/>
          </w:tcPr>
          <w:p>
            <w:pPr>
              <w:widowControl/>
              <w:ind w:left="-96" w:leftChars="-30"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自然资源局</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45" w:hRule="exact"/>
        </w:trPr>
        <w:tc>
          <w:tcPr>
            <w:tcW w:w="348" w:type="pct"/>
            <w:vMerge w:val="continue"/>
            <w:vAlign w:val="center"/>
          </w:tcPr>
          <w:p>
            <w:pPr>
              <w:widowControl/>
              <w:ind w:left="-96" w:leftChars="-30" w:right="-96" w:rightChars="-30" w:firstLine="368"/>
              <w:jc w:val="center"/>
              <w:rPr>
                <w:rFonts w:asciiTheme="minorEastAsia" w:hAnsiTheme="minorEastAsia" w:eastAsiaTheme="minorEastAsia"/>
                <w:spacing w:val="-8"/>
                <w:sz w:val="20"/>
                <w:szCs w:val="20"/>
              </w:rPr>
            </w:pPr>
          </w:p>
        </w:tc>
        <w:tc>
          <w:tcPr>
            <w:tcW w:w="1393" w:type="pct"/>
            <w:tcBorders>
              <w:top w:val="nil"/>
            </w:tcBorders>
            <w:vAlign w:val="center"/>
          </w:tcPr>
          <w:p>
            <w:pPr>
              <w:widowControl/>
              <w:ind w:right="-96" w:rightChars="-30" w:firstLine="0" w:firstLineChars="0"/>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城市空气质量优良天数比率</w:t>
            </w:r>
          </w:p>
        </w:tc>
        <w:tc>
          <w:tcPr>
            <w:tcW w:w="366"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w:t>
            </w:r>
          </w:p>
        </w:tc>
        <w:tc>
          <w:tcPr>
            <w:tcW w:w="810"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79</w:t>
            </w:r>
          </w:p>
        </w:tc>
        <w:tc>
          <w:tcPr>
            <w:tcW w:w="843"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80</w:t>
            </w:r>
          </w:p>
        </w:tc>
        <w:tc>
          <w:tcPr>
            <w:tcW w:w="709" w:type="pct"/>
            <w:gridSpan w:val="3"/>
            <w:vAlign w:val="center"/>
          </w:tcPr>
          <w:p>
            <w:pPr>
              <w:widowControl/>
              <w:ind w:left="-96" w:leftChars="-30" w:right="-96" w:rightChars="-30" w:firstLine="368"/>
              <w:jc w:val="center"/>
              <w:rPr>
                <w:rFonts w:asciiTheme="minorEastAsia" w:hAnsiTheme="minorEastAsia" w:eastAsiaTheme="minorEastAsia"/>
                <w:spacing w:val="-8"/>
                <w:sz w:val="20"/>
                <w:szCs w:val="20"/>
              </w:rPr>
            </w:pPr>
          </w:p>
        </w:tc>
        <w:tc>
          <w:tcPr>
            <w:tcW w:w="527" w:type="pct"/>
            <w:vAlign w:val="center"/>
          </w:tcPr>
          <w:p>
            <w:pPr>
              <w:widowControl/>
              <w:ind w:left="-96" w:leftChars="-30"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生态环境局</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6" w:hRule="exact"/>
        </w:trPr>
        <w:tc>
          <w:tcPr>
            <w:tcW w:w="348" w:type="pct"/>
            <w:vMerge w:val="restart"/>
            <w:vAlign w:val="center"/>
          </w:tcPr>
          <w:p>
            <w:pPr>
              <w:widowControl/>
              <w:ind w:left="-96" w:leftChars="-30" w:right="-96" w:rightChars="-30" w:firstLine="0" w:firstLineChars="0"/>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高质量民生发展</w:t>
            </w:r>
          </w:p>
        </w:tc>
        <w:tc>
          <w:tcPr>
            <w:tcW w:w="1393" w:type="pct"/>
            <w:vAlign w:val="center"/>
          </w:tcPr>
          <w:p>
            <w:pPr>
              <w:widowControl/>
              <w:ind w:right="-96" w:rightChars="-30" w:firstLine="0" w:firstLineChars="0"/>
              <w:jc w:val="left"/>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城镇新增就业人口</w:t>
            </w:r>
          </w:p>
        </w:tc>
        <w:tc>
          <w:tcPr>
            <w:tcW w:w="366" w:type="pct"/>
            <w:vAlign w:val="center"/>
          </w:tcPr>
          <w:p>
            <w:pPr>
              <w:widowControl/>
              <w:ind w:left="-96" w:leftChars="-30"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万人</w:t>
            </w:r>
          </w:p>
        </w:tc>
        <w:tc>
          <w:tcPr>
            <w:tcW w:w="810"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0.1</w:t>
            </w:r>
          </w:p>
        </w:tc>
        <w:tc>
          <w:tcPr>
            <w:tcW w:w="843"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0.425</w:t>
            </w:r>
          </w:p>
        </w:tc>
        <w:tc>
          <w:tcPr>
            <w:tcW w:w="709" w:type="pct"/>
            <w:gridSpan w:val="3"/>
            <w:vAlign w:val="center"/>
          </w:tcPr>
          <w:p>
            <w:pPr>
              <w:ind w:right="-96" w:rightChars="-30" w:firstLine="0" w:firstLineChars="0"/>
              <w:jc w:val="center"/>
              <w:rPr>
                <w:rFonts w:asciiTheme="minorEastAsia" w:hAnsiTheme="minorEastAsia" w:eastAsiaTheme="minorEastAsia"/>
                <w:spacing w:val="-8"/>
                <w:sz w:val="20"/>
                <w:szCs w:val="20"/>
              </w:rPr>
            </w:pPr>
          </w:p>
        </w:tc>
        <w:tc>
          <w:tcPr>
            <w:tcW w:w="527" w:type="pct"/>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人社局</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6" w:hRule="exact"/>
        </w:trPr>
        <w:tc>
          <w:tcPr>
            <w:tcW w:w="348" w:type="pct"/>
            <w:vMerge w:val="continue"/>
            <w:vAlign w:val="center"/>
          </w:tcPr>
          <w:p>
            <w:pPr>
              <w:widowControl/>
              <w:ind w:left="-96" w:leftChars="-30" w:right="-96" w:rightChars="-30" w:firstLine="368"/>
              <w:jc w:val="center"/>
              <w:rPr>
                <w:rFonts w:asciiTheme="minorEastAsia" w:hAnsiTheme="minorEastAsia" w:eastAsiaTheme="minorEastAsia"/>
                <w:spacing w:val="-8"/>
                <w:sz w:val="20"/>
                <w:szCs w:val="20"/>
              </w:rPr>
            </w:pPr>
          </w:p>
        </w:tc>
        <w:tc>
          <w:tcPr>
            <w:tcW w:w="1393" w:type="pct"/>
            <w:vAlign w:val="center"/>
          </w:tcPr>
          <w:p>
            <w:pPr>
              <w:widowControl/>
              <w:ind w:right="-96" w:rightChars="-30" w:firstLine="0" w:firstLineChars="0"/>
              <w:jc w:val="left"/>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城镇登记失业率</w:t>
            </w:r>
          </w:p>
        </w:tc>
        <w:tc>
          <w:tcPr>
            <w:tcW w:w="366"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w:t>
            </w:r>
          </w:p>
        </w:tc>
        <w:tc>
          <w:tcPr>
            <w:tcW w:w="810"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5.5</w:t>
            </w:r>
          </w:p>
        </w:tc>
        <w:tc>
          <w:tcPr>
            <w:tcW w:w="843"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5.5</w:t>
            </w:r>
          </w:p>
        </w:tc>
        <w:tc>
          <w:tcPr>
            <w:tcW w:w="709" w:type="pct"/>
            <w:gridSpan w:val="3"/>
            <w:vAlign w:val="center"/>
          </w:tcPr>
          <w:p>
            <w:pPr>
              <w:ind w:right="-96" w:rightChars="-30" w:firstLine="0" w:firstLineChars="0"/>
              <w:jc w:val="center"/>
              <w:rPr>
                <w:rFonts w:asciiTheme="minorEastAsia" w:hAnsiTheme="minorEastAsia" w:eastAsiaTheme="minorEastAsia"/>
                <w:spacing w:val="-8"/>
                <w:sz w:val="20"/>
                <w:szCs w:val="20"/>
              </w:rPr>
            </w:pPr>
          </w:p>
        </w:tc>
        <w:tc>
          <w:tcPr>
            <w:tcW w:w="527" w:type="pct"/>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人社局</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47" w:hRule="exact"/>
        </w:trPr>
        <w:tc>
          <w:tcPr>
            <w:tcW w:w="348" w:type="pct"/>
            <w:vMerge w:val="continue"/>
            <w:vAlign w:val="center"/>
          </w:tcPr>
          <w:p>
            <w:pPr>
              <w:widowControl/>
              <w:ind w:left="-96" w:leftChars="-30" w:right="-96" w:rightChars="-30" w:firstLine="368"/>
              <w:jc w:val="left"/>
              <w:rPr>
                <w:rFonts w:asciiTheme="minorEastAsia" w:hAnsiTheme="minorEastAsia" w:eastAsiaTheme="minorEastAsia"/>
                <w:spacing w:val="-8"/>
                <w:sz w:val="20"/>
                <w:szCs w:val="20"/>
              </w:rPr>
            </w:pPr>
          </w:p>
        </w:tc>
        <w:tc>
          <w:tcPr>
            <w:tcW w:w="1393" w:type="pct"/>
            <w:vAlign w:val="center"/>
          </w:tcPr>
          <w:p>
            <w:pPr>
              <w:widowControl/>
              <w:ind w:left="-96" w:leftChars="-30" w:right="-96" w:rightChars="-30" w:firstLine="0" w:firstLineChars="0"/>
              <w:jc w:val="left"/>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城镇职工基本养老保险参保人数</w:t>
            </w:r>
          </w:p>
        </w:tc>
        <w:tc>
          <w:tcPr>
            <w:tcW w:w="366" w:type="pct"/>
            <w:vAlign w:val="center"/>
          </w:tcPr>
          <w:p>
            <w:pPr>
              <w:widowControl/>
              <w:ind w:left="-96" w:leftChars="-30"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万人</w:t>
            </w:r>
          </w:p>
        </w:tc>
        <w:tc>
          <w:tcPr>
            <w:tcW w:w="810"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6.2</w:t>
            </w:r>
          </w:p>
        </w:tc>
        <w:tc>
          <w:tcPr>
            <w:tcW w:w="843"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6.7</w:t>
            </w:r>
          </w:p>
        </w:tc>
        <w:tc>
          <w:tcPr>
            <w:tcW w:w="709" w:type="pct"/>
            <w:gridSpan w:val="3"/>
            <w:vAlign w:val="center"/>
          </w:tcPr>
          <w:p>
            <w:pPr>
              <w:ind w:right="-96" w:rightChars="-30" w:firstLine="0" w:firstLineChars="0"/>
              <w:jc w:val="center"/>
              <w:rPr>
                <w:rFonts w:asciiTheme="minorEastAsia" w:hAnsiTheme="minorEastAsia" w:eastAsiaTheme="minorEastAsia"/>
                <w:spacing w:val="-8"/>
                <w:sz w:val="20"/>
                <w:szCs w:val="20"/>
              </w:rPr>
            </w:pPr>
          </w:p>
        </w:tc>
        <w:tc>
          <w:tcPr>
            <w:tcW w:w="527" w:type="pct"/>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人社局</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1" w:hRule="exact"/>
        </w:trPr>
        <w:tc>
          <w:tcPr>
            <w:tcW w:w="348" w:type="pct"/>
            <w:vMerge w:val="continue"/>
            <w:vAlign w:val="center"/>
          </w:tcPr>
          <w:p>
            <w:pPr>
              <w:widowControl/>
              <w:ind w:left="-96" w:leftChars="-30" w:right="-96" w:rightChars="-30" w:firstLine="368"/>
              <w:jc w:val="left"/>
              <w:rPr>
                <w:rFonts w:asciiTheme="minorEastAsia" w:hAnsiTheme="minorEastAsia" w:eastAsiaTheme="minorEastAsia"/>
                <w:spacing w:val="-8"/>
                <w:sz w:val="20"/>
                <w:szCs w:val="20"/>
              </w:rPr>
            </w:pPr>
          </w:p>
        </w:tc>
        <w:tc>
          <w:tcPr>
            <w:tcW w:w="1393" w:type="pct"/>
            <w:vAlign w:val="center"/>
          </w:tcPr>
          <w:p>
            <w:pPr>
              <w:widowControl/>
              <w:ind w:right="-96" w:rightChars="-30" w:firstLine="0" w:firstLineChars="0"/>
              <w:jc w:val="left"/>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城镇职工失业保险</w:t>
            </w:r>
          </w:p>
        </w:tc>
        <w:tc>
          <w:tcPr>
            <w:tcW w:w="366" w:type="pct"/>
            <w:vAlign w:val="center"/>
          </w:tcPr>
          <w:p>
            <w:pPr>
              <w:widowControl/>
              <w:ind w:left="-96" w:leftChars="-30"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万人</w:t>
            </w:r>
          </w:p>
        </w:tc>
        <w:tc>
          <w:tcPr>
            <w:tcW w:w="810"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3.9</w:t>
            </w:r>
          </w:p>
        </w:tc>
        <w:tc>
          <w:tcPr>
            <w:tcW w:w="843"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4.05</w:t>
            </w:r>
          </w:p>
        </w:tc>
        <w:tc>
          <w:tcPr>
            <w:tcW w:w="709" w:type="pct"/>
            <w:gridSpan w:val="3"/>
            <w:vAlign w:val="center"/>
          </w:tcPr>
          <w:p>
            <w:pPr>
              <w:ind w:right="-96" w:rightChars="-30" w:firstLine="0" w:firstLineChars="0"/>
              <w:jc w:val="center"/>
              <w:rPr>
                <w:rFonts w:asciiTheme="minorEastAsia" w:hAnsiTheme="minorEastAsia" w:eastAsiaTheme="minorEastAsia"/>
                <w:spacing w:val="-8"/>
                <w:sz w:val="20"/>
                <w:szCs w:val="20"/>
              </w:rPr>
            </w:pPr>
          </w:p>
        </w:tc>
        <w:tc>
          <w:tcPr>
            <w:tcW w:w="527" w:type="pct"/>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人社局</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96" w:hRule="exact"/>
        </w:trPr>
        <w:tc>
          <w:tcPr>
            <w:tcW w:w="348" w:type="pct"/>
            <w:vMerge w:val="continue"/>
            <w:vAlign w:val="center"/>
          </w:tcPr>
          <w:p>
            <w:pPr>
              <w:widowControl/>
              <w:ind w:left="-96" w:leftChars="-30" w:right="-96" w:rightChars="-30" w:firstLine="368"/>
              <w:jc w:val="left"/>
              <w:rPr>
                <w:rFonts w:asciiTheme="minorEastAsia" w:hAnsiTheme="minorEastAsia" w:eastAsiaTheme="minorEastAsia"/>
                <w:spacing w:val="-8"/>
                <w:sz w:val="20"/>
                <w:szCs w:val="20"/>
              </w:rPr>
            </w:pPr>
          </w:p>
        </w:tc>
        <w:tc>
          <w:tcPr>
            <w:tcW w:w="1393" w:type="pct"/>
            <w:vAlign w:val="center"/>
          </w:tcPr>
          <w:p>
            <w:pPr>
              <w:widowControl/>
              <w:ind w:right="-96" w:rightChars="-30" w:firstLine="0" w:firstLineChars="0"/>
              <w:jc w:val="left"/>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城镇职工工伤保险</w:t>
            </w:r>
          </w:p>
        </w:tc>
        <w:tc>
          <w:tcPr>
            <w:tcW w:w="366" w:type="pct"/>
            <w:vAlign w:val="center"/>
          </w:tcPr>
          <w:p>
            <w:pPr>
              <w:widowControl/>
              <w:ind w:left="-96" w:leftChars="-30"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万人</w:t>
            </w:r>
          </w:p>
        </w:tc>
        <w:tc>
          <w:tcPr>
            <w:tcW w:w="810"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1.62</w:t>
            </w:r>
          </w:p>
        </w:tc>
        <w:tc>
          <w:tcPr>
            <w:tcW w:w="843"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1.87</w:t>
            </w:r>
          </w:p>
        </w:tc>
        <w:tc>
          <w:tcPr>
            <w:tcW w:w="709" w:type="pct"/>
            <w:gridSpan w:val="3"/>
            <w:vAlign w:val="center"/>
          </w:tcPr>
          <w:p>
            <w:pPr>
              <w:ind w:right="-96" w:rightChars="-30" w:firstLine="0" w:firstLineChars="0"/>
              <w:jc w:val="center"/>
              <w:rPr>
                <w:rFonts w:asciiTheme="minorEastAsia" w:hAnsiTheme="minorEastAsia" w:eastAsiaTheme="minorEastAsia"/>
                <w:spacing w:val="-8"/>
                <w:sz w:val="20"/>
                <w:szCs w:val="20"/>
              </w:rPr>
            </w:pPr>
          </w:p>
        </w:tc>
        <w:tc>
          <w:tcPr>
            <w:tcW w:w="527" w:type="pct"/>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人社局</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348" w:type="pct"/>
            <w:vMerge w:val="continue"/>
            <w:vAlign w:val="center"/>
          </w:tcPr>
          <w:p>
            <w:pPr>
              <w:widowControl/>
              <w:ind w:left="-96" w:leftChars="-30" w:right="-96" w:rightChars="-30" w:firstLine="368"/>
              <w:jc w:val="left"/>
              <w:rPr>
                <w:rFonts w:asciiTheme="minorEastAsia" w:hAnsiTheme="minorEastAsia" w:eastAsiaTheme="minorEastAsia"/>
                <w:spacing w:val="-8"/>
                <w:sz w:val="20"/>
                <w:szCs w:val="20"/>
              </w:rPr>
            </w:pPr>
          </w:p>
        </w:tc>
        <w:tc>
          <w:tcPr>
            <w:tcW w:w="1393" w:type="pct"/>
            <w:vAlign w:val="center"/>
          </w:tcPr>
          <w:p>
            <w:pPr>
              <w:widowControl/>
              <w:ind w:right="-96" w:rightChars="-30" w:firstLine="0" w:firstLineChars="0"/>
              <w:jc w:val="left"/>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人均预期寿命</w:t>
            </w:r>
          </w:p>
        </w:tc>
        <w:tc>
          <w:tcPr>
            <w:tcW w:w="366"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岁</w:t>
            </w:r>
          </w:p>
        </w:tc>
        <w:tc>
          <w:tcPr>
            <w:tcW w:w="810"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77</w:t>
            </w:r>
          </w:p>
        </w:tc>
        <w:tc>
          <w:tcPr>
            <w:tcW w:w="843"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79</w:t>
            </w:r>
          </w:p>
        </w:tc>
        <w:tc>
          <w:tcPr>
            <w:tcW w:w="709" w:type="pct"/>
            <w:gridSpan w:val="3"/>
            <w:vAlign w:val="center"/>
          </w:tcPr>
          <w:p>
            <w:pPr>
              <w:ind w:right="-96" w:rightChars="-30" w:firstLine="0" w:firstLineChars="0"/>
              <w:jc w:val="center"/>
              <w:rPr>
                <w:rFonts w:asciiTheme="minorEastAsia" w:hAnsiTheme="minorEastAsia" w:eastAsiaTheme="minorEastAsia"/>
                <w:spacing w:val="-8"/>
                <w:sz w:val="20"/>
                <w:szCs w:val="20"/>
              </w:rPr>
            </w:pPr>
          </w:p>
        </w:tc>
        <w:tc>
          <w:tcPr>
            <w:tcW w:w="527" w:type="pct"/>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卫健委</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11" w:hRule="exact"/>
        </w:trPr>
        <w:tc>
          <w:tcPr>
            <w:tcW w:w="348" w:type="pct"/>
            <w:vMerge w:val="continue"/>
            <w:vAlign w:val="center"/>
          </w:tcPr>
          <w:p>
            <w:pPr>
              <w:widowControl/>
              <w:ind w:left="-96" w:leftChars="-30" w:right="-96" w:rightChars="-30" w:firstLine="368"/>
              <w:jc w:val="left"/>
              <w:rPr>
                <w:rFonts w:asciiTheme="minorEastAsia" w:hAnsiTheme="minorEastAsia" w:eastAsiaTheme="minorEastAsia"/>
                <w:spacing w:val="-8"/>
                <w:sz w:val="20"/>
                <w:szCs w:val="20"/>
              </w:rPr>
            </w:pPr>
          </w:p>
        </w:tc>
        <w:tc>
          <w:tcPr>
            <w:tcW w:w="1393" w:type="pct"/>
            <w:vAlign w:val="center"/>
          </w:tcPr>
          <w:p>
            <w:pPr>
              <w:widowControl/>
              <w:ind w:right="-96" w:rightChars="-30" w:firstLine="0" w:firstLineChars="0"/>
              <w:jc w:val="left"/>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每万人常住人口全科医生数</w:t>
            </w:r>
          </w:p>
        </w:tc>
        <w:tc>
          <w:tcPr>
            <w:tcW w:w="366"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人</w:t>
            </w:r>
          </w:p>
        </w:tc>
        <w:tc>
          <w:tcPr>
            <w:tcW w:w="810"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2</w:t>
            </w:r>
          </w:p>
        </w:tc>
        <w:tc>
          <w:tcPr>
            <w:tcW w:w="843" w:type="pct"/>
            <w:gridSpan w:val="3"/>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3</w:t>
            </w:r>
          </w:p>
        </w:tc>
        <w:tc>
          <w:tcPr>
            <w:tcW w:w="709" w:type="pct"/>
            <w:gridSpan w:val="3"/>
            <w:vAlign w:val="center"/>
          </w:tcPr>
          <w:p>
            <w:pPr>
              <w:ind w:right="-96" w:rightChars="-30" w:firstLine="0" w:firstLineChars="0"/>
              <w:jc w:val="center"/>
              <w:rPr>
                <w:rFonts w:asciiTheme="minorEastAsia" w:hAnsiTheme="minorEastAsia" w:eastAsiaTheme="minorEastAsia"/>
                <w:spacing w:val="-8"/>
                <w:sz w:val="20"/>
                <w:szCs w:val="20"/>
              </w:rPr>
            </w:pPr>
          </w:p>
        </w:tc>
        <w:tc>
          <w:tcPr>
            <w:tcW w:w="527" w:type="pct"/>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卫健委</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26" w:hRule="exact"/>
        </w:trPr>
        <w:tc>
          <w:tcPr>
            <w:tcW w:w="348" w:type="pct"/>
            <w:vMerge w:val="continue"/>
            <w:vAlign w:val="center"/>
          </w:tcPr>
          <w:p>
            <w:pPr>
              <w:widowControl/>
              <w:ind w:left="-96" w:leftChars="-30" w:right="-96" w:rightChars="-30" w:firstLine="368"/>
              <w:jc w:val="left"/>
              <w:rPr>
                <w:rFonts w:asciiTheme="minorEastAsia" w:hAnsiTheme="minorEastAsia" w:eastAsiaTheme="minorEastAsia"/>
                <w:spacing w:val="-8"/>
                <w:sz w:val="20"/>
                <w:szCs w:val="20"/>
              </w:rPr>
            </w:pPr>
          </w:p>
        </w:tc>
        <w:tc>
          <w:tcPr>
            <w:tcW w:w="1393" w:type="pct"/>
            <w:vAlign w:val="center"/>
          </w:tcPr>
          <w:p>
            <w:pPr>
              <w:widowControl/>
              <w:ind w:right="-96" w:rightChars="-30" w:firstLine="0" w:firstLineChars="0"/>
              <w:jc w:val="left"/>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城镇居民人均可支配收入</w:t>
            </w:r>
          </w:p>
        </w:tc>
        <w:tc>
          <w:tcPr>
            <w:tcW w:w="366"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元</w:t>
            </w:r>
          </w:p>
        </w:tc>
        <w:tc>
          <w:tcPr>
            <w:tcW w:w="533" w:type="pct"/>
            <w:gridSpan w:val="2"/>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25428</w:t>
            </w:r>
          </w:p>
        </w:tc>
        <w:tc>
          <w:tcPr>
            <w:tcW w:w="277" w:type="pct"/>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3.9</w:t>
            </w:r>
          </w:p>
        </w:tc>
        <w:tc>
          <w:tcPr>
            <w:tcW w:w="444" w:type="pct"/>
            <w:gridSpan w:val="2"/>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35664</w:t>
            </w:r>
          </w:p>
        </w:tc>
        <w:tc>
          <w:tcPr>
            <w:tcW w:w="399" w:type="pct"/>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7</w:t>
            </w:r>
          </w:p>
        </w:tc>
        <w:tc>
          <w:tcPr>
            <w:tcW w:w="300" w:type="pct"/>
            <w:vAlign w:val="center"/>
          </w:tcPr>
          <w:p>
            <w:pPr>
              <w:ind w:left="-96" w:leftChars="-30" w:right="-96" w:rightChars="-30" w:firstLine="368"/>
              <w:jc w:val="center"/>
              <w:rPr>
                <w:rFonts w:asciiTheme="minorEastAsia" w:hAnsiTheme="minorEastAsia" w:eastAsiaTheme="minorEastAsia"/>
                <w:spacing w:val="-8"/>
                <w:sz w:val="20"/>
                <w:szCs w:val="20"/>
              </w:rPr>
            </w:pPr>
          </w:p>
        </w:tc>
        <w:tc>
          <w:tcPr>
            <w:tcW w:w="408" w:type="pct"/>
            <w:gridSpan w:val="2"/>
            <w:vAlign w:val="center"/>
          </w:tcPr>
          <w:p>
            <w:pPr>
              <w:ind w:left="-96" w:leftChars="-30" w:right="-96" w:rightChars="-30" w:firstLine="368"/>
              <w:jc w:val="center"/>
              <w:rPr>
                <w:rFonts w:asciiTheme="minorEastAsia" w:hAnsiTheme="minorEastAsia" w:eastAsiaTheme="minorEastAsia"/>
                <w:spacing w:val="-8"/>
                <w:sz w:val="20"/>
                <w:szCs w:val="20"/>
              </w:rPr>
            </w:pPr>
          </w:p>
        </w:tc>
        <w:tc>
          <w:tcPr>
            <w:tcW w:w="527" w:type="pct"/>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发改局</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27" w:hRule="exact"/>
        </w:trPr>
        <w:tc>
          <w:tcPr>
            <w:tcW w:w="348" w:type="pct"/>
            <w:vMerge w:val="continue"/>
            <w:vAlign w:val="center"/>
          </w:tcPr>
          <w:p>
            <w:pPr>
              <w:widowControl/>
              <w:ind w:left="-96" w:leftChars="-30" w:right="-96" w:rightChars="-30" w:firstLine="368"/>
              <w:jc w:val="left"/>
              <w:rPr>
                <w:rFonts w:asciiTheme="minorEastAsia" w:hAnsiTheme="minorEastAsia" w:eastAsiaTheme="minorEastAsia"/>
                <w:spacing w:val="-8"/>
                <w:sz w:val="20"/>
                <w:szCs w:val="20"/>
              </w:rPr>
            </w:pPr>
          </w:p>
        </w:tc>
        <w:tc>
          <w:tcPr>
            <w:tcW w:w="1393" w:type="pct"/>
            <w:vAlign w:val="center"/>
          </w:tcPr>
          <w:p>
            <w:pPr>
              <w:widowControl/>
              <w:ind w:right="-96" w:rightChars="-30" w:firstLine="0" w:firstLineChars="0"/>
              <w:jc w:val="left"/>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农村居民人均可支配收入</w:t>
            </w:r>
          </w:p>
        </w:tc>
        <w:tc>
          <w:tcPr>
            <w:tcW w:w="366" w:type="pct"/>
            <w:vAlign w:val="center"/>
          </w:tcPr>
          <w:p>
            <w:pPr>
              <w:widowControl/>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元</w:t>
            </w:r>
          </w:p>
        </w:tc>
        <w:tc>
          <w:tcPr>
            <w:tcW w:w="533" w:type="pct"/>
            <w:gridSpan w:val="2"/>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18238</w:t>
            </w:r>
          </w:p>
        </w:tc>
        <w:tc>
          <w:tcPr>
            <w:tcW w:w="277" w:type="pct"/>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7.5</w:t>
            </w:r>
          </w:p>
        </w:tc>
        <w:tc>
          <w:tcPr>
            <w:tcW w:w="444" w:type="pct"/>
            <w:gridSpan w:val="2"/>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25580</w:t>
            </w:r>
          </w:p>
        </w:tc>
        <w:tc>
          <w:tcPr>
            <w:tcW w:w="399" w:type="pct"/>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7</w:t>
            </w:r>
          </w:p>
        </w:tc>
        <w:tc>
          <w:tcPr>
            <w:tcW w:w="300" w:type="pct"/>
            <w:vAlign w:val="center"/>
          </w:tcPr>
          <w:p>
            <w:pPr>
              <w:ind w:left="-96" w:leftChars="-30" w:right="-96" w:rightChars="-30" w:firstLine="368"/>
              <w:jc w:val="center"/>
              <w:rPr>
                <w:rFonts w:asciiTheme="minorEastAsia" w:hAnsiTheme="minorEastAsia" w:eastAsiaTheme="minorEastAsia"/>
                <w:spacing w:val="-8"/>
                <w:sz w:val="20"/>
                <w:szCs w:val="20"/>
              </w:rPr>
            </w:pPr>
          </w:p>
        </w:tc>
        <w:tc>
          <w:tcPr>
            <w:tcW w:w="408" w:type="pct"/>
            <w:gridSpan w:val="2"/>
            <w:vAlign w:val="center"/>
          </w:tcPr>
          <w:p>
            <w:pPr>
              <w:ind w:left="-96" w:leftChars="-30" w:right="-96" w:rightChars="-30" w:firstLine="368"/>
              <w:jc w:val="center"/>
              <w:rPr>
                <w:rFonts w:asciiTheme="minorEastAsia" w:hAnsiTheme="minorEastAsia" w:eastAsiaTheme="minorEastAsia"/>
                <w:spacing w:val="-8"/>
                <w:sz w:val="20"/>
                <w:szCs w:val="20"/>
              </w:rPr>
            </w:pPr>
          </w:p>
        </w:tc>
        <w:tc>
          <w:tcPr>
            <w:tcW w:w="527" w:type="pct"/>
            <w:vAlign w:val="center"/>
          </w:tcPr>
          <w:p>
            <w:pPr>
              <w:ind w:right="-96" w:rightChars="-30" w:firstLine="0" w:firstLineChars="0"/>
              <w:jc w:val="center"/>
              <w:rPr>
                <w:rFonts w:asciiTheme="minorEastAsia" w:hAnsiTheme="minorEastAsia" w:eastAsiaTheme="minorEastAsia"/>
                <w:spacing w:val="-8"/>
                <w:sz w:val="20"/>
                <w:szCs w:val="20"/>
              </w:rPr>
            </w:pPr>
            <w:r>
              <w:rPr>
                <w:rFonts w:hint="eastAsia" w:asciiTheme="minorEastAsia" w:hAnsiTheme="minorEastAsia" w:eastAsiaTheme="minorEastAsia"/>
                <w:spacing w:val="-8"/>
                <w:sz w:val="20"/>
                <w:szCs w:val="20"/>
              </w:rPr>
              <w:t>发改局</w:t>
            </w:r>
          </w:p>
        </w:tc>
      </w:tr>
    </w:tbl>
    <w:p>
      <w:pPr>
        <w:pStyle w:val="4"/>
        <w:spacing w:before="0" w:after="0" w:line="360" w:lineRule="auto"/>
        <w:rPr>
          <w:rFonts w:ascii="楷体" w:hAnsi="楷体" w:eastAsia="楷体" w:cs="Times New Roman"/>
          <w:bCs w:val="0"/>
        </w:rPr>
      </w:pPr>
      <w:r>
        <w:fldChar w:fldCharType="begin"/>
      </w:r>
      <w:r>
        <w:instrText xml:space="preserve"> HYPERLINK \l "_Toc47623179" </w:instrText>
      </w:r>
      <w:r>
        <w:fldChar w:fldCharType="separate"/>
      </w:r>
      <w:bookmarkStart w:id="55" w:name="_Toc50889136"/>
      <w:bookmarkStart w:id="56" w:name="_Toc58853080"/>
      <w:bookmarkStart w:id="57" w:name="_Toc50887000"/>
      <w:bookmarkStart w:id="58" w:name="_Toc50889042"/>
      <w:r>
        <w:rPr>
          <w:rFonts w:hint="eastAsia" w:ascii="楷体_GB2312" w:hAnsi="楷体_GB2312" w:eastAsia="楷体_GB2312" w:cs="楷体_GB2312"/>
          <w:bCs w:val="0"/>
        </w:rPr>
        <w:t>第五节 空间布局</w:t>
      </w:r>
      <w:bookmarkEnd w:id="55"/>
      <w:bookmarkEnd w:id="56"/>
      <w:bookmarkEnd w:id="57"/>
      <w:bookmarkEnd w:id="58"/>
      <w:r>
        <w:rPr>
          <w:rFonts w:hint="eastAsia" w:ascii="楷体_GB2312" w:hAnsi="楷体_GB2312" w:eastAsia="楷体_GB2312" w:cs="楷体_GB2312"/>
          <w:bCs w:val="0"/>
        </w:rPr>
        <w:fldChar w:fldCharType="end"/>
      </w:r>
    </w:p>
    <w:p>
      <w:pPr>
        <w:pStyle w:val="12"/>
        <w:spacing w:line="360" w:lineRule="auto"/>
        <w:ind w:firstLine="640" w:firstLineChars="200"/>
        <w:rPr>
          <w:rFonts w:ascii="仿宋_GB2312" w:hAnsi="仿宋_GB2312" w:eastAsia="仿宋_GB2312" w:cs="仿宋_GB2312"/>
          <w:sz w:val="32"/>
          <w:shd w:val="clear" w:color="auto" w:fill="FFFFFF"/>
        </w:rPr>
      </w:pPr>
      <w:r>
        <w:rPr>
          <w:rFonts w:hint="eastAsia" w:ascii="仿宋_GB2312" w:hAnsi="仿宋_GB2312" w:eastAsia="仿宋_GB2312" w:cs="仿宋_GB2312"/>
          <w:sz w:val="32"/>
          <w:shd w:val="clear" w:color="auto" w:fill="FFFFFF"/>
        </w:rPr>
        <w:t>按照《调兵山市城市总体规划（2008-2030）》确定的产业空间总体布局，经过近十年的发展调整，全市基本形成“一心两轴三区”总体格局。“十四五”时期，结合新时期新形势新任务和新型城镇化建设，以及国土空间规划“多规合一”后调整布局，进一步优化调兵山市空间布局。</w:t>
      </w:r>
    </w:p>
    <w:p>
      <w:pPr>
        <w:spacing w:line="360" w:lineRule="auto"/>
        <w:ind w:firstLine="643"/>
        <w:rPr>
          <w:rFonts w:ascii="仿宋_GB2312" w:hAnsi="仿宋_GB2312" w:eastAsia="仿宋_GB2312" w:cs="仿宋_GB2312"/>
          <w:shd w:val="clear" w:color="auto" w:fill="FFFFFF"/>
        </w:rPr>
      </w:pPr>
      <w:r>
        <w:rPr>
          <w:rFonts w:hint="eastAsia" w:ascii="仿宋_GB2312" w:hAnsi="仿宋_GB2312" w:eastAsia="仿宋_GB2312" w:cs="仿宋_GB2312"/>
          <w:b/>
          <w:shd w:val="clear" w:color="auto" w:fill="FFFFFF"/>
        </w:rPr>
        <w:t>一心</w:t>
      </w:r>
      <w:r>
        <w:rPr>
          <w:rFonts w:hint="eastAsia" w:ascii="仿宋_GB2312" w:hAnsi="仿宋_GB2312" w:eastAsia="仿宋_GB2312" w:cs="仿宋_GB2312"/>
          <w:shd w:val="clear" w:color="auto" w:fill="FFFFFF"/>
        </w:rPr>
        <w:t>：调兵山中心城区，是全市政治、经济、文化中心，是全市产业与空间发展的核心载体，城镇空间发展的组织中心，也是次区域都市经济中心，不断引导人口、城市功能向中心城区集聚，提升城市总体发展能力和承载力。</w:t>
      </w:r>
    </w:p>
    <w:p>
      <w:pPr>
        <w:spacing w:line="360" w:lineRule="auto"/>
        <w:ind w:firstLine="643"/>
        <w:rPr>
          <w:rFonts w:ascii="仿宋_GB2312" w:hAnsi="仿宋_GB2312" w:eastAsia="仿宋_GB2312" w:cs="仿宋_GB2312"/>
          <w:shd w:val="clear" w:color="auto" w:fill="FFFFFF"/>
        </w:rPr>
      </w:pPr>
      <w:r>
        <w:rPr>
          <w:rFonts w:hint="eastAsia" w:ascii="仿宋_GB2312" w:hAnsi="仿宋_GB2312" w:eastAsia="仿宋_GB2312" w:cs="仿宋_GB2312"/>
          <w:b/>
          <w:shd w:val="clear" w:color="auto" w:fill="FFFFFF"/>
        </w:rPr>
        <w:t>两轴：“产业城镇聚合轴”</w:t>
      </w:r>
      <w:r>
        <w:rPr>
          <w:rFonts w:hint="eastAsia" w:ascii="仿宋_GB2312" w:hAnsi="仿宋_GB2312" w:eastAsia="仿宋_GB2312" w:cs="仿宋_GB2312"/>
          <w:shd w:val="clear" w:color="auto" w:fill="FFFFFF"/>
        </w:rPr>
        <w:t>沿南北向纵贯调兵山的新梨公路产业聚合带。连接中心城区、城北工业区和城南经济开发区。是全市城镇空间拓展和对外联系的重要组织轴带，重点打造“四大基地”。未来发展应不断强化要素、产业向轴带集聚，通过轴带伸展，拉开市域空间发展骨架。</w:t>
      </w:r>
    </w:p>
    <w:p>
      <w:pPr>
        <w:spacing w:line="360" w:lineRule="auto"/>
        <w:ind w:firstLine="643"/>
        <w:rPr>
          <w:rFonts w:ascii="仿宋_GB2312" w:hAnsi="仿宋_GB2312" w:eastAsia="仿宋_GB2312" w:cs="仿宋_GB2312"/>
          <w:shd w:val="clear" w:color="auto" w:fill="FFFFFF"/>
        </w:rPr>
      </w:pPr>
      <w:r>
        <w:rPr>
          <w:rFonts w:hint="eastAsia" w:ascii="仿宋_GB2312" w:hAnsi="仿宋_GB2312" w:eastAsia="仿宋_GB2312" w:cs="仿宋_GB2312"/>
          <w:b/>
          <w:shd w:val="clear" w:color="auto" w:fill="FFFFFF"/>
        </w:rPr>
        <w:t>“城镇拓展轴”</w:t>
      </w:r>
      <w:r>
        <w:rPr>
          <w:rFonts w:hint="eastAsia" w:ascii="仿宋_GB2312" w:hAnsi="仿宋_GB2312" w:eastAsia="仿宋_GB2312" w:cs="仿宋_GB2312"/>
          <w:shd w:val="clear" w:color="auto" w:fill="FFFFFF"/>
        </w:rPr>
        <w:t>指106省道，东西向连接铁岭市和法库县，是城镇建设、对外交通的重要通道，承载次区域都市经济核心地位，晓明镇布局在沿线上，未来该轴线将承载区域性工业物流中心、对外联系等职能。</w:t>
      </w:r>
    </w:p>
    <w:p>
      <w:pPr>
        <w:spacing w:line="360" w:lineRule="auto"/>
        <w:ind w:firstLine="643"/>
        <w:rPr>
          <w:rFonts w:ascii="仿宋_GB2312" w:hAnsi="仿宋_GB2312" w:eastAsia="仿宋_GB2312" w:cs="仿宋_GB2312"/>
          <w:shd w:val="clear" w:color="auto" w:fill="FFFFFF"/>
        </w:rPr>
      </w:pPr>
      <w:r>
        <w:rPr>
          <w:rFonts w:hint="eastAsia" w:ascii="仿宋_GB2312" w:hAnsi="仿宋_GB2312" w:eastAsia="仿宋_GB2312" w:cs="仿宋_GB2312"/>
          <w:b/>
          <w:shd w:val="clear" w:color="auto" w:fill="FFFFFF"/>
        </w:rPr>
        <w:t>三区</w:t>
      </w:r>
      <w:r>
        <w:rPr>
          <w:rFonts w:hint="eastAsia" w:ascii="仿宋_GB2312" w:hAnsi="仿宋_GB2312" w:eastAsia="仿宋_GB2312" w:cs="仿宋_GB2312"/>
          <w:shd w:val="clear" w:color="auto" w:fill="FFFFFF"/>
        </w:rPr>
        <w:t>：西山森林景观区、城市核心发展区、东部生态涵养区。西山森林景观区重点发展康养等产业，城市核心发展区重点发展服务业为主体的城区经济，东部生态涵养区依托采沉区治理和生态修复，重点打造蒸汽机车博物馆、影视基地等文旅产业。</w:t>
      </w:r>
    </w:p>
    <w:p>
      <w:pPr>
        <w:pStyle w:val="2"/>
        <w:ind w:firstLine="360"/>
        <w:rPr>
          <w:shd w:val="clear" w:color="auto" w:fill="FFFFFF"/>
        </w:rPr>
      </w:pPr>
      <w:r>
        <w:rPr>
          <w:shd w:val="clear" w:color="auto" w:fill="FFFFFF"/>
        </w:rPr>
        <w:br w:type="page"/>
      </w:r>
    </w:p>
    <w:p>
      <w:pPr>
        <w:pStyle w:val="3"/>
        <w:spacing w:before="0" w:afterLines="10" w:line="600" w:lineRule="exact"/>
        <w:rPr>
          <w:sz w:val="36"/>
        </w:rPr>
      </w:pPr>
      <w:bookmarkStart w:id="59" w:name="_Toc58853081"/>
      <w:bookmarkStart w:id="60" w:name="_Toc50887001"/>
      <w:bookmarkStart w:id="61" w:name="_Toc47622026"/>
      <w:bookmarkStart w:id="62" w:name="_Toc50889043"/>
      <w:bookmarkStart w:id="63" w:name="_Toc50889137"/>
      <w:r>
        <w:rPr>
          <w:rFonts w:hint="eastAsia"/>
          <w:b w:val="0"/>
          <w:bCs w:val="0"/>
          <w:sz w:val="32"/>
          <w:szCs w:val="32"/>
        </w:rPr>
        <w:t>第三章</w:t>
      </w:r>
      <w:r>
        <w:rPr>
          <w:b w:val="0"/>
          <w:bCs w:val="0"/>
          <w:sz w:val="32"/>
          <w:szCs w:val="32"/>
        </w:rPr>
        <w:t xml:space="preserve">  </w:t>
      </w:r>
      <w:r>
        <w:rPr>
          <w:rFonts w:hint="eastAsia"/>
          <w:b w:val="0"/>
          <w:bCs w:val="0"/>
          <w:sz w:val="32"/>
          <w:szCs w:val="32"/>
        </w:rPr>
        <w:t>优化营商环境，全面深化改革</w:t>
      </w:r>
      <w:bookmarkEnd w:id="59"/>
      <w:bookmarkEnd w:id="60"/>
      <w:bookmarkEnd w:id="61"/>
      <w:bookmarkEnd w:id="62"/>
      <w:bookmarkEnd w:id="63"/>
    </w:p>
    <w:p>
      <w:pPr>
        <w:spacing w:line="600" w:lineRule="exact"/>
        <w:ind w:firstLine="640"/>
        <w:rPr>
          <w:rFonts w:ascii="Times New Roman" w:hAnsi="Times New Roman" w:eastAsia="仿宋_GB2312" w:cs="Times New Roman"/>
          <w:color w:val="000000" w:themeColor="text1"/>
          <w:szCs w:val="32"/>
        </w:rPr>
      </w:pPr>
      <w:bookmarkStart w:id="64" w:name="_Toc50887002"/>
      <w:bookmarkStart w:id="65" w:name="_Toc50889138"/>
      <w:bookmarkStart w:id="66" w:name="_Toc50889044"/>
      <w:bookmarkStart w:id="67" w:name="_Toc47622027"/>
      <w:bookmarkStart w:id="68" w:name="_Toc45120089"/>
      <w:r>
        <w:rPr>
          <w:rFonts w:ascii="Times New Roman" w:hAnsi="Times New Roman" w:eastAsia="仿宋_GB2312" w:cs="Times New Roman"/>
          <w:color w:val="000000" w:themeColor="text1"/>
          <w:szCs w:val="32"/>
        </w:rPr>
        <w:t>贯彻落实《优化营商环境条例》，以市场主体获得感为评价标准，以政府职能转变为核心，以</w:t>
      </w:r>
      <w:r>
        <w:rPr>
          <w:rFonts w:hint="eastAsia" w:ascii="Times New Roman" w:hAnsi="Times New Roman" w:eastAsia="仿宋_GB2312" w:cs="Times New Roman"/>
          <w:color w:val="000000" w:themeColor="text1"/>
          <w:szCs w:val="32"/>
        </w:rPr>
        <w:t>“</w:t>
      </w:r>
      <w:r>
        <w:rPr>
          <w:rFonts w:ascii="Times New Roman" w:hAnsi="Times New Roman" w:eastAsia="仿宋_GB2312" w:cs="Times New Roman"/>
          <w:color w:val="000000" w:themeColor="text1"/>
          <w:szCs w:val="32"/>
        </w:rPr>
        <w:t>一网通办</w:t>
      </w:r>
      <w:r>
        <w:rPr>
          <w:rFonts w:hint="eastAsia" w:ascii="Times New Roman" w:hAnsi="Times New Roman" w:eastAsia="仿宋_GB2312" w:cs="Times New Roman"/>
          <w:color w:val="000000" w:themeColor="text1"/>
          <w:szCs w:val="32"/>
        </w:rPr>
        <w:t>”</w:t>
      </w:r>
      <w:r>
        <w:rPr>
          <w:rFonts w:ascii="Times New Roman" w:hAnsi="Times New Roman" w:eastAsia="仿宋_GB2312" w:cs="Times New Roman"/>
          <w:color w:val="000000" w:themeColor="text1"/>
          <w:szCs w:val="32"/>
        </w:rPr>
        <w:t>为抓手，以严格执法、公正司法为保障，着力营造</w:t>
      </w:r>
      <w:r>
        <w:rPr>
          <w:rFonts w:hint="eastAsia" w:ascii="Times New Roman" w:hAnsi="Times New Roman" w:eastAsia="仿宋_GB2312" w:cs="Times New Roman"/>
          <w:color w:val="000000" w:themeColor="text1"/>
          <w:szCs w:val="32"/>
        </w:rPr>
        <w:t>“</w:t>
      </w:r>
      <w:r>
        <w:rPr>
          <w:rFonts w:ascii="Times New Roman" w:hAnsi="Times New Roman" w:eastAsia="仿宋_GB2312" w:cs="Times New Roman"/>
          <w:color w:val="000000" w:themeColor="text1"/>
          <w:szCs w:val="32"/>
        </w:rPr>
        <w:t>办事方便、法治良好、成本竞争力强、生态宜居</w:t>
      </w:r>
      <w:r>
        <w:rPr>
          <w:rFonts w:hint="eastAsia" w:ascii="Times New Roman" w:hAnsi="Times New Roman" w:eastAsia="仿宋_GB2312" w:cs="Times New Roman"/>
          <w:color w:val="000000" w:themeColor="text1"/>
          <w:szCs w:val="32"/>
        </w:rPr>
        <w:t>”</w:t>
      </w:r>
      <w:r>
        <w:rPr>
          <w:rFonts w:ascii="Times New Roman" w:hAnsi="Times New Roman" w:eastAsia="仿宋_GB2312" w:cs="Times New Roman"/>
          <w:color w:val="000000" w:themeColor="text1"/>
          <w:szCs w:val="32"/>
        </w:rPr>
        <w:t>的营商环境，为各类市场主体投资兴业营造稳定、公平、透明、可预期的发展生态。加强营商文化建设，营造</w:t>
      </w:r>
      <w:r>
        <w:rPr>
          <w:rFonts w:hint="eastAsia" w:ascii="Times New Roman" w:hAnsi="Times New Roman" w:eastAsia="仿宋_GB2312" w:cs="Times New Roman"/>
          <w:color w:val="000000" w:themeColor="text1"/>
          <w:szCs w:val="32"/>
        </w:rPr>
        <w:t>“</w:t>
      </w:r>
      <w:r>
        <w:rPr>
          <w:rFonts w:ascii="Times New Roman" w:hAnsi="Times New Roman" w:eastAsia="仿宋_GB2312" w:cs="Times New Roman"/>
          <w:color w:val="000000" w:themeColor="text1"/>
          <w:szCs w:val="32"/>
        </w:rPr>
        <w:t>办事不求人</w:t>
      </w:r>
      <w:r>
        <w:rPr>
          <w:rFonts w:hint="eastAsia" w:ascii="Times New Roman" w:hAnsi="Times New Roman" w:eastAsia="仿宋_GB2312" w:cs="Times New Roman"/>
          <w:color w:val="000000" w:themeColor="text1"/>
          <w:szCs w:val="32"/>
        </w:rPr>
        <w:t>”</w:t>
      </w:r>
      <w:r>
        <w:rPr>
          <w:rFonts w:ascii="Times New Roman" w:hAnsi="Times New Roman" w:eastAsia="仿宋_GB2312" w:cs="Times New Roman"/>
          <w:color w:val="000000" w:themeColor="text1"/>
          <w:szCs w:val="32"/>
        </w:rPr>
        <w:t>的社会氛围。完善营商环境评价体系，定期开展营商环境评价。</w:t>
      </w:r>
    </w:p>
    <w:p>
      <w:pPr>
        <w:pStyle w:val="4"/>
        <w:spacing w:before="0" w:after="0" w:line="600" w:lineRule="exact"/>
        <w:rPr>
          <w:rFonts w:ascii="楷体" w:hAnsi="楷体" w:eastAsia="楷体" w:cs="Times New Roman"/>
          <w:bCs w:val="0"/>
        </w:rPr>
      </w:pPr>
      <w:bookmarkStart w:id="69" w:name="_Toc58853082"/>
      <w:r>
        <w:rPr>
          <w:rFonts w:hint="eastAsia" w:ascii="楷体_GB2312" w:hAnsi="楷体_GB2312" w:eastAsia="楷体_GB2312" w:cs="楷体_GB2312"/>
          <w:bCs w:val="0"/>
        </w:rPr>
        <w:t>第一节 打造营商环境</w:t>
      </w:r>
      <w:bookmarkEnd w:id="64"/>
      <w:bookmarkEnd w:id="65"/>
      <w:bookmarkEnd w:id="66"/>
      <w:r>
        <w:rPr>
          <w:rFonts w:hint="eastAsia" w:ascii="楷体_GB2312" w:hAnsi="楷体_GB2312" w:eastAsia="楷体_GB2312" w:cs="楷体_GB2312"/>
          <w:bCs w:val="0"/>
        </w:rPr>
        <w:t>最优市</w:t>
      </w:r>
      <w:bookmarkEnd w:id="69"/>
    </w:p>
    <w:p>
      <w:pPr>
        <w:spacing w:line="600" w:lineRule="exact"/>
        <w:ind w:firstLine="643"/>
        <w:rPr>
          <w:rFonts w:ascii="仿宋_GB2312" w:hAnsi="仿宋_GB2312" w:eastAsia="仿宋_GB2312" w:cs="仿宋_GB2312"/>
          <w:bCs/>
          <w:szCs w:val="32"/>
        </w:rPr>
      </w:pPr>
      <w:r>
        <w:rPr>
          <w:rFonts w:hint="eastAsia" w:ascii="仿宋_GB2312" w:hAnsi="仿宋_GB2312" w:eastAsia="仿宋_GB2312" w:cs="仿宋_GB2312"/>
          <w:b/>
          <w:szCs w:val="32"/>
        </w:rPr>
        <w:t>深化“放管服”改革。</w:t>
      </w:r>
      <w:r>
        <w:rPr>
          <w:rFonts w:hint="eastAsia" w:ascii="仿宋_GB2312" w:hAnsi="仿宋_GB2312" w:eastAsia="仿宋_GB2312" w:cs="仿宋_GB2312"/>
          <w:szCs w:val="32"/>
        </w:rPr>
        <w:t>贯彻落实“一网通办”“最多跑一次”等系列改革，取消和下放审批权限，集中监管和服务。梳理权责清单，</w:t>
      </w:r>
      <w:r>
        <w:rPr>
          <w:rFonts w:hint="eastAsia" w:ascii="仿宋_GB2312" w:hAnsi="仿宋_GB2312" w:eastAsia="仿宋_GB2312" w:cs="仿宋_GB2312"/>
          <w:bCs/>
          <w:szCs w:val="32"/>
        </w:rPr>
        <w:t>逐步增加行政审批事项下放“政务服务驿站”平台数量，推进行政审批事项向镇/街道、村/社区延伸，清理检查全市行政收费事项，</w:t>
      </w:r>
      <w:r>
        <w:rPr>
          <w:rFonts w:hint="eastAsia" w:ascii="仿宋_GB2312" w:hAnsi="仿宋_GB2312" w:eastAsia="仿宋_GB2312" w:cs="仿宋_GB2312"/>
          <w:szCs w:val="32"/>
        </w:rPr>
        <w:t>规范和引导行政审批部门优化流程、减少环节、缩短时限、精简材料。</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rPr>
        <w:t>提高政府服务效能。</w:t>
      </w:r>
      <w:r>
        <w:rPr>
          <w:rFonts w:hint="eastAsia" w:ascii="仿宋_GB2312" w:hAnsi="仿宋_GB2312" w:eastAsia="仿宋_GB2312" w:cs="仿宋_GB2312"/>
          <w:bCs/>
          <w:szCs w:val="32"/>
        </w:rPr>
        <w:t>进一步完善政务服务驿站功能，</w:t>
      </w:r>
      <w:r>
        <w:rPr>
          <w:rFonts w:hint="eastAsia" w:ascii="仿宋_GB2312" w:hAnsi="仿宋_GB2312" w:eastAsia="仿宋_GB2312" w:cs="仿宋_GB2312"/>
        </w:rPr>
        <w:t>大力推行“一窗办、一网办”</w:t>
      </w:r>
      <w:r>
        <w:rPr>
          <w:rFonts w:hint="eastAsia" w:ascii="仿宋_GB2312" w:hAnsi="仿宋_GB2312" w:eastAsia="仿宋_GB2312" w:cs="仿宋_GB2312"/>
          <w:szCs w:val="32"/>
        </w:rPr>
        <w:t>，</w:t>
      </w:r>
      <w:r>
        <w:rPr>
          <w:rFonts w:hint="eastAsia" w:ascii="仿宋_GB2312" w:hAnsi="仿宋_GB2312" w:eastAsia="仿宋_GB2312" w:cs="仿宋_GB2312"/>
          <w:bCs/>
          <w:szCs w:val="32"/>
        </w:rPr>
        <w:t>拓展各专业部门微信公众号服务功能，推进“全域通办”与“零证明城市”，实行工程建设项目联合审批</w:t>
      </w:r>
      <w:r>
        <w:rPr>
          <w:rFonts w:hint="eastAsia" w:ascii="仿宋_GB2312" w:hAnsi="仿宋_GB2312" w:eastAsia="仿宋_GB2312" w:cs="仿宋_GB2312"/>
          <w:szCs w:val="32"/>
        </w:rPr>
        <w:t>。实现群众办事“零跑动”。开展“驻企联络员”活动，定期召开“营商面对面”企业家座谈会。</w:t>
      </w:r>
    </w:p>
    <w:p>
      <w:pPr>
        <w:spacing w:line="600" w:lineRule="exact"/>
        <w:ind w:firstLine="643"/>
        <w:rPr>
          <w:rFonts w:ascii="仿宋_GB2312" w:hAnsi="仿宋_GB2312" w:eastAsia="仿宋_GB2312" w:cs="仿宋_GB2312"/>
          <w:bCs/>
        </w:rPr>
      </w:pPr>
      <w:r>
        <w:rPr>
          <w:rFonts w:hint="eastAsia" w:ascii="仿宋_GB2312" w:hAnsi="仿宋_GB2312" w:eastAsia="仿宋_GB2312" w:cs="仿宋_GB2312"/>
          <w:b/>
          <w:bCs/>
          <w:szCs w:val="32"/>
        </w:rPr>
        <w:t>切实减轻企业负担。</w:t>
      </w:r>
      <w:r>
        <w:rPr>
          <w:rFonts w:hint="eastAsia" w:ascii="仿宋_GB2312" w:hAnsi="仿宋_GB2312" w:eastAsia="仿宋_GB2312" w:cs="仿宋_GB2312"/>
          <w:szCs w:val="32"/>
        </w:rPr>
        <w:t>推进“照后减证”，破解“准入不准营”难题，加强事中事后监管，创新政府管理方式，保障各类企业在政策支持、资质许可、政府采购、标准制定等方面的公平待遇和合法权益。推广不动产登记“一窗受理、集成服务”</w:t>
      </w:r>
      <w:r>
        <w:rPr>
          <w:rFonts w:hint="eastAsia" w:ascii="仿宋_GB2312" w:hAnsi="仿宋_GB2312" w:eastAsia="仿宋_GB2312" w:cs="仿宋_GB2312"/>
          <w:bCs/>
        </w:rPr>
        <w:t>，推进政务服务公开，广泛接受社会监督。</w:t>
      </w:r>
      <w:r>
        <w:rPr>
          <w:rFonts w:hint="eastAsia" w:ascii="仿宋_GB2312" w:hAnsi="仿宋_GB2312" w:eastAsia="仿宋_GB2312" w:cs="仿宋_GB2312"/>
          <w:szCs w:val="32"/>
        </w:rPr>
        <w:t>加快建设电子证照库和统一身份认证体系，推进部门信息共享和相关信息智能审核，</w:t>
      </w:r>
      <w:r>
        <w:rPr>
          <w:rFonts w:hint="eastAsia" w:ascii="仿宋_GB2312" w:hAnsi="仿宋_GB2312" w:eastAsia="仿宋_GB2312" w:cs="仿宋_GB2312"/>
          <w:bCs/>
        </w:rPr>
        <w:t>加强信用体系建设。</w:t>
      </w:r>
    </w:p>
    <w:p>
      <w:pPr>
        <w:pStyle w:val="4"/>
        <w:spacing w:before="0" w:after="0" w:line="600" w:lineRule="exact"/>
        <w:rPr>
          <w:rFonts w:ascii="楷体_GB2312" w:hAnsi="楷体_GB2312" w:eastAsia="楷体_GB2312" w:cs="楷体_GB2312"/>
          <w:bCs w:val="0"/>
        </w:rPr>
      </w:pPr>
      <w:bookmarkStart w:id="70" w:name="_Toc50889045"/>
      <w:bookmarkStart w:id="71" w:name="_Toc50889139"/>
      <w:bookmarkStart w:id="72" w:name="_Toc50887003"/>
      <w:bookmarkStart w:id="73" w:name="_Toc58853083"/>
      <w:r>
        <w:rPr>
          <w:rFonts w:hint="eastAsia" w:ascii="楷体_GB2312" w:hAnsi="楷体_GB2312" w:eastAsia="楷体_GB2312" w:cs="楷体_GB2312"/>
          <w:bCs w:val="0"/>
        </w:rPr>
        <w:t xml:space="preserve">第二节 </w:t>
      </w:r>
      <w:bookmarkEnd w:id="70"/>
      <w:bookmarkEnd w:id="71"/>
      <w:bookmarkEnd w:id="72"/>
      <w:r>
        <w:rPr>
          <w:rFonts w:hint="eastAsia" w:ascii="楷体_GB2312" w:hAnsi="楷体_GB2312" w:eastAsia="楷体_GB2312" w:cs="楷体_GB2312"/>
          <w:bCs w:val="0"/>
        </w:rPr>
        <w:t>深化关键领域改革</w:t>
      </w:r>
      <w:bookmarkEnd w:id="73"/>
    </w:p>
    <w:p>
      <w:pPr>
        <w:spacing w:line="600" w:lineRule="exact"/>
        <w:ind w:firstLine="643"/>
        <w:rPr>
          <w:rFonts w:ascii="仿宋_GB2312" w:hAnsi="仿宋_GB2312" w:eastAsia="仿宋_GB2312" w:cs="仿宋_GB2312"/>
        </w:rPr>
      </w:pPr>
      <w:r>
        <w:rPr>
          <w:rFonts w:hint="eastAsia" w:ascii="仿宋_GB2312" w:hAnsi="仿宋_GB2312" w:eastAsia="仿宋_GB2312" w:cs="仿宋_GB2312"/>
          <w:b/>
        </w:rPr>
        <w:t>推进要素市场化配置改革。</w:t>
      </w:r>
      <w:r>
        <w:rPr>
          <w:rFonts w:hint="eastAsia" w:ascii="仿宋_GB2312" w:hAnsi="仿宋_GB2312" w:eastAsia="仿宋_GB2312" w:cs="仿宋_GB2312"/>
        </w:rPr>
        <w:t>以推动经济高质量发展为核心，不断推进要素市场制度建设，扩大要素市场化配置范围，瞄准要素市场存在的突出矛盾和薄弱环节，通过土地、劳动力、资本、技术、数据等五大要素领域改革，分阶段、分区域、分步骤实施要素市场化配置改革，提高要素市场化配置效率，促进要素自主有序流动，激发各类要素潜能和活力。</w:t>
      </w:r>
    </w:p>
    <w:p>
      <w:pPr>
        <w:spacing w:line="600" w:lineRule="exact"/>
        <w:ind w:firstLine="683"/>
        <w:rPr>
          <w:rFonts w:ascii="仿宋_GB2312" w:hAnsi="仿宋_GB2312" w:eastAsia="仿宋_GB2312" w:cs="仿宋_GB2312"/>
          <w:szCs w:val="28"/>
        </w:rPr>
      </w:pPr>
      <w:r>
        <w:rPr>
          <w:rFonts w:hint="eastAsia" w:ascii="仿宋_GB2312" w:hAnsi="仿宋_GB2312" w:eastAsia="仿宋_GB2312" w:cs="仿宋_GB2312"/>
          <w:b/>
          <w:snapToGrid w:val="0"/>
          <w:spacing w:val="10"/>
          <w:kern w:val="0"/>
          <w:szCs w:val="32"/>
        </w:rPr>
        <w:t>全面深化国资国企改革。</w:t>
      </w:r>
      <w:r>
        <w:rPr>
          <w:rFonts w:hint="eastAsia" w:ascii="仿宋_GB2312" w:hAnsi="仿宋_GB2312" w:eastAsia="仿宋_GB2312" w:cs="仿宋_GB2312"/>
          <w:snapToGrid w:val="0"/>
          <w:spacing w:val="10"/>
          <w:kern w:val="0"/>
          <w:szCs w:val="32"/>
        </w:rPr>
        <w:t>承接铁煤集团“二供一业”剥离业务，积极稳妥推进市属国企混合所有制改革，激发城投集团、水务集团等优质国企活力。依托市投资公司和运营公司，盘活域内僵尸企业、闲置资产，</w:t>
      </w:r>
      <w:r>
        <w:rPr>
          <w:rFonts w:hint="eastAsia" w:ascii="仿宋_GB2312" w:hAnsi="仿宋_GB2312" w:eastAsia="仿宋_GB2312" w:cs="仿宋_GB2312"/>
          <w:szCs w:val="32"/>
        </w:rPr>
        <w:t>分类施策解决好历史遗留问题</w:t>
      </w:r>
      <w:r>
        <w:rPr>
          <w:rFonts w:hint="eastAsia" w:ascii="仿宋_GB2312" w:hAnsi="仿宋_GB2312" w:eastAsia="仿宋_GB2312" w:cs="仿宋_GB2312"/>
          <w:szCs w:val="28"/>
        </w:rPr>
        <w:t>，吸引各类资本参与国企改革。</w:t>
      </w:r>
      <w:bookmarkEnd w:id="67"/>
      <w:bookmarkEnd w:id="68"/>
      <w:bookmarkStart w:id="74" w:name="_Toc47622030"/>
      <w:bookmarkStart w:id="75" w:name="_Toc50889140"/>
      <w:bookmarkStart w:id="76" w:name="_Toc50887004"/>
      <w:bookmarkStart w:id="77" w:name="_Toc50889046"/>
    </w:p>
    <w:p>
      <w:pPr>
        <w:spacing w:line="600" w:lineRule="exact"/>
        <w:ind w:firstLine="683"/>
        <w:rPr>
          <w:rFonts w:ascii="仿宋_GB2312" w:hAnsi="仿宋_GB2312" w:eastAsia="仿宋_GB2312" w:cs="仿宋_GB2312"/>
          <w:szCs w:val="28"/>
        </w:rPr>
      </w:pPr>
      <w:r>
        <w:rPr>
          <w:rFonts w:hint="eastAsia" w:ascii="仿宋_GB2312" w:hAnsi="仿宋_GB2312" w:eastAsia="仿宋_GB2312" w:cs="仿宋_GB2312"/>
          <w:b/>
          <w:snapToGrid w:val="0"/>
          <w:spacing w:val="10"/>
          <w:kern w:val="0"/>
          <w:szCs w:val="32"/>
        </w:rPr>
        <w:t>推进开发区体制机制改革。</w:t>
      </w:r>
      <w:r>
        <w:rPr>
          <w:rFonts w:hint="eastAsia" w:ascii="仿宋_GB2312" w:hAnsi="仿宋_GB2312" w:eastAsia="仿宋_GB2312" w:cs="仿宋_GB2312"/>
          <w:szCs w:val="32"/>
        </w:rPr>
        <w:t>强化“管委会+公司”运营模式建设，</w:t>
      </w:r>
      <w:r>
        <w:rPr>
          <w:rFonts w:hint="eastAsia" w:ascii="仿宋_GB2312" w:hAnsi="仿宋_GB2312" w:eastAsia="仿宋_GB2312" w:cs="仿宋_GB2312"/>
        </w:rPr>
        <w:t>优化管委会内设机构设置和岗位人员配置，</w:t>
      </w:r>
      <w:r>
        <w:rPr>
          <w:rFonts w:hint="eastAsia" w:ascii="仿宋_GB2312" w:hAnsi="仿宋_GB2312" w:eastAsia="仿宋_GB2312" w:cs="仿宋_GB2312"/>
          <w:szCs w:val="32"/>
        </w:rPr>
        <w:t>集中精力抓好经济发展、投资促进及服务等工作。深化人事和薪酬制度改革，</w:t>
      </w:r>
      <w:r>
        <w:rPr>
          <w:rFonts w:hint="eastAsia" w:ascii="仿宋_GB2312" w:hAnsi="仿宋_GB2312" w:eastAsia="仿宋_GB2312" w:cs="仿宋_GB2312"/>
        </w:rPr>
        <w:t>灵活开展人员选聘工作，探索实行兼职兼薪、年薪制、协议工资制等多种分配方式，</w:t>
      </w:r>
      <w:r>
        <w:rPr>
          <w:rFonts w:hint="eastAsia" w:ascii="仿宋_GB2312" w:hAnsi="仿宋_GB2312" w:eastAsia="仿宋_GB2312" w:cs="仿宋_GB2312"/>
          <w:szCs w:val="32"/>
        </w:rPr>
        <w:t>实现薪酬与招商项目金额、数量、税收贡献等挂钩。探索所属企业市场化运作模式，依托调兵山市产融发展有限责任公司组建“招商集团”，开展高层次、专业化招商；设立产业发展基金，重点投向开发区主导产业和新兴产业领域，加强金融资本与产业资本的有效对接。</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稳步推进农村产权制度改革。</w:t>
      </w:r>
      <w:r>
        <w:rPr>
          <w:rFonts w:hint="eastAsia" w:ascii="仿宋_GB2312" w:hAnsi="仿宋_GB2312" w:eastAsia="仿宋_GB2312" w:cs="仿宋_GB2312"/>
          <w:szCs w:val="32"/>
        </w:rPr>
        <w:t>维护进城落户农民土地承包权、宅基地使用权、集体收益分配权，支持引导其依法自愿有偿转让上述权益。有序规范农村承包土地经营权流转，开展第二轮土地承包到期后再延长30年改革。稳妥推进农村集体经营性建设用地入市改革，盘活农村空闲和低效用地。进一步推进农村集体产权制度改革，完善农民闲置宅基地和闲置农房政策，赋予农民更多财产权利。</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rPr>
        <w:t>健全农业转移人口市民化机制。</w:t>
      </w:r>
      <w:r>
        <w:rPr>
          <w:rFonts w:hint="eastAsia" w:ascii="仿宋_GB2312" w:hAnsi="仿宋_GB2312" w:eastAsia="仿宋_GB2312" w:cs="仿宋_GB2312"/>
        </w:rPr>
        <w:t>全面落实支持农业转移人口市民化的财政政策、城镇建设用地增加规模与吸纳农业转移人口落户数量挂钩政策。提升城市包容性，推动农民工特别是新生代农民工融入城市。</w:t>
      </w:r>
    </w:p>
    <w:p>
      <w:pPr>
        <w:pStyle w:val="4"/>
        <w:spacing w:before="0" w:after="0" w:line="600" w:lineRule="exact"/>
        <w:rPr>
          <w:rFonts w:ascii="楷体_GB2312" w:hAnsi="楷体_GB2312" w:eastAsia="楷体_GB2312" w:cs="楷体_GB2312"/>
          <w:bCs w:val="0"/>
        </w:rPr>
      </w:pPr>
      <w:bookmarkStart w:id="78" w:name="_Toc58853084"/>
      <w:r>
        <w:rPr>
          <w:rFonts w:hint="eastAsia" w:ascii="楷体_GB2312" w:hAnsi="楷体_GB2312" w:eastAsia="楷体_GB2312" w:cs="楷体_GB2312"/>
          <w:bCs w:val="0"/>
        </w:rPr>
        <w:t>第三节 激发各类市场主体活力</w:t>
      </w:r>
      <w:bookmarkEnd w:id="74"/>
      <w:bookmarkEnd w:id="75"/>
      <w:bookmarkEnd w:id="76"/>
      <w:bookmarkEnd w:id="77"/>
      <w:bookmarkEnd w:id="78"/>
    </w:p>
    <w:p>
      <w:pPr>
        <w:spacing w:line="600" w:lineRule="exact"/>
        <w:ind w:firstLine="643"/>
        <w:rPr>
          <w:rFonts w:ascii="仿宋_GB2312" w:hAnsi="仿宋_GB2312" w:eastAsia="仿宋_GB2312" w:cs="仿宋_GB2312"/>
          <w:bCs/>
          <w:szCs w:val="28"/>
        </w:rPr>
      </w:pPr>
      <w:r>
        <w:rPr>
          <w:rFonts w:hint="eastAsia" w:ascii="仿宋_GB2312" w:hAnsi="仿宋_GB2312" w:eastAsia="仿宋_GB2312" w:cs="仿宋_GB2312"/>
          <w:b/>
          <w:bCs/>
          <w:szCs w:val="28"/>
        </w:rPr>
        <w:t>构建“亲清”新型政商关系。</w:t>
      </w:r>
      <w:r>
        <w:rPr>
          <w:rFonts w:hint="eastAsia" w:ascii="仿宋_GB2312" w:hAnsi="仿宋_GB2312" w:eastAsia="仿宋_GB2312" w:cs="仿宋_GB2312"/>
          <w:bCs/>
          <w:szCs w:val="28"/>
        </w:rPr>
        <w:t>加强诚信政府建设。坚决治理“新官不理旧账”问题，加强政府采购、招投标、政府与社会资本合作、招商引资等重点领域的政务诚信建设；开展政府失信行为自查，加快解决政府拖欠款项问题、履约失信问题。</w:t>
      </w:r>
      <w:bookmarkStart w:id="79" w:name="_Toc50889141"/>
      <w:bookmarkStart w:id="80" w:name="_Toc47622028"/>
      <w:bookmarkStart w:id="81" w:name="_Toc3024"/>
      <w:bookmarkStart w:id="82" w:name="_Toc50887005"/>
      <w:bookmarkStart w:id="83" w:name="_Toc50889047"/>
      <w:bookmarkStart w:id="84" w:name="_Toc34904277"/>
    </w:p>
    <w:p>
      <w:pPr>
        <w:spacing w:line="600" w:lineRule="exact"/>
        <w:ind w:firstLine="643"/>
        <w:rPr>
          <w:rFonts w:ascii="仿宋_GB2312" w:hAnsi="仿宋_GB2312" w:eastAsia="仿宋_GB2312" w:cs="仿宋_GB2312"/>
          <w:bCs/>
          <w:szCs w:val="28"/>
        </w:rPr>
      </w:pPr>
      <w:r>
        <w:rPr>
          <w:rFonts w:hint="eastAsia" w:ascii="仿宋_GB2312" w:hAnsi="仿宋_GB2312" w:eastAsia="仿宋_GB2312" w:cs="仿宋_GB2312"/>
          <w:b/>
          <w:szCs w:val="32"/>
        </w:rPr>
        <w:t>落实好纾困惠企政策</w:t>
      </w:r>
      <w:r>
        <w:rPr>
          <w:rFonts w:hint="eastAsia" w:ascii="仿宋_GB2312" w:hAnsi="仿宋_GB2312" w:eastAsia="仿宋_GB2312" w:cs="仿宋_GB2312"/>
          <w:szCs w:val="32"/>
        </w:rPr>
        <w:t>。加快落实更大规模减税降费、减租降息等各项支持政策，确保各项纾困措施直达基层、直接惠及市场主体。扶持中小微企业发展，落实对中小企业、经营困难企业实施缴费返还、延期缴纳税款等政策支持。继续实施“个转企、小升规、规升巨”专项行动，扶持一批主业突出、核心竞争力强的龙头企业，将其打造成具有辐射带动作用的经济增长极。</w:t>
      </w:r>
    </w:p>
    <w:p>
      <w:pPr>
        <w:spacing w:line="600" w:lineRule="exact"/>
        <w:ind w:firstLine="643"/>
        <w:rPr>
          <w:rFonts w:ascii="仿宋_GB2312" w:hAnsi="仿宋_GB2312" w:eastAsia="仿宋_GB2312" w:cs="仿宋_GB2312"/>
          <w:bCs/>
          <w:szCs w:val="28"/>
        </w:rPr>
      </w:pPr>
      <w:r>
        <w:rPr>
          <w:rFonts w:hint="eastAsia" w:ascii="仿宋_GB2312" w:hAnsi="仿宋_GB2312" w:eastAsia="仿宋_GB2312" w:cs="仿宋_GB2312"/>
          <w:b/>
          <w:szCs w:val="32"/>
        </w:rPr>
        <w:t>拓宽民营企业融资渠道</w:t>
      </w:r>
      <w:r>
        <w:rPr>
          <w:rFonts w:hint="eastAsia" w:ascii="仿宋_GB2312" w:hAnsi="仿宋_GB2312" w:eastAsia="仿宋_GB2312" w:cs="仿宋_GB2312"/>
          <w:szCs w:val="32"/>
        </w:rPr>
        <w:t>。有效缓解民营企业融资难融资贵难题，增强金融服务中小企业、实体经济能力，支持和引导民营企业用好企业债券、公司债券、非金融企业债务融资等直接融资工具，推动有实力有条件的民营企业在主板、中小板、创业板上市。高度重视支持个体工商户发展，积极帮助个体工商户解决租金、税费、社保、融资等方面难题。</w:t>
      </w:r>
    </w:p>
    <w:bookmarkEnd w:id="79"/>
    <w:bookmarkEnd w:id="80"/>
    <w:bookmarkEnd w:id="81"/>
    <w:bookmarkEnd w:id="82"/>
    <w:bookmarkEnd w:id="83"/>
    <w:bookmarkEnd w:id="84"/>
    <w:p>
      <w:pPr>
        <w:pStyle w:val="4"/>
        <w:spacing w:before="0" w:after="0" w:line="600" w:lineRule="exact"/>
        <w:rPr>
          <w:rFonts w:ascii="楷体_GB2312" w:hAnsi="楷体_GB2312" w:eastAsia="楷体_GB2312" w:cs="楷体_GB2312"/>
          <w:bCs w:val="0"/>
        </w:rPr>
      </w:pPr>
      <w:bookmarkStart w:id="85" w:name="_Toc50887006"/>
      <w:bookmarkStart w:id="86" w:name="_Toc50889048"/>
      <w:bookmarkStart w:id="87" w:name="_Toc50889142"/>
      <w:bookmarkStart w:id="88" w:name="_Toc58853085"/>
      <w:r>
        <w:rPr>
          <w:rFonts w:hint="eastAsia" w:ascii="楷体_GB2312" w:hAnsi="楷体_GB2312" w:eastAsia="楷体_GB2312" w:cs="楷体_GB2312"/>
          <w:bCs w:val="0"/>
        </w:rPr>
        <w:t xml:space="preserve">第四节 </w:t>
      </w:r>
      <w:bookmarkEnd w:id="85"/>
      <w:bookmarkEnd w:id="86"/>
      <w:bookmarkEnd w:id="87"/>
      <w:r>
        <w:rPr>
          <w:rFonts w:hint="eastAsia" w:ascii="楷体_GB2312" w:hAnsi="楷体_GB2312" w:eastAsia="楷体_GB2312" w:cs="楷体_GB2312"/>
          <w:bCs w:val="0"/>
        </w:rPr>
        <w:t>防范化解重大风险</w:t>
      </w:r>
      <w:bookmarkEnd w:id="88"/>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加强政府债务管理</w:t>
      </w:r>
      <w:r>
        <w:rPr>
          <w:rFonts w:hint="eastAsia" w:ascii="仿宋_GB2312" w:hAnsi="仿宋_GB2312" w:eastAsia="仿宋_GB2312" w:cs="仿宋_GB2312"/>
          <w:szCs w:val="32"/>
        </w:rPr>
        <w:t>。严防政府债务风险，建立税收收入稳定增长机制，进一步优化收入结构，增强政府偿债能力。全面实施预算绩效管理，推进财政资金统筹使用，严格管理政府债务限额，健全地方政府债务风险预警机制。有效发挥财政资金杠杆作用，引导金融资本、撬动社会资本，健全政府举债融资机制，防范风险前提下加大专项债券对城建部门支持力度，重点支持基础设施建设、产业转型升级、发展新动能培育。</w:t>
      </w:r>
    </w:p>
    <w:p>
      <w:pPr>
        <w:overflowPunct w:val="0"/>
        <w:adjustRightInd w:val="0"/>
        <w:snapToGrid w:val="0"/>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防范各类风险。</w:t>
      </w:r>
      <w:r>
        <w:rPr>
          <w:rFonts w:hint="eastAsia" w:ascii="仿宋_GB2312" w:hAnsi="仿宋_GB2312" w:eastAsia="仿宋_GB2312" w:cs="仿宋_GB2312"/>
          <w:szCs w:val="32"/>
        </w:rPr>
        <w:t>严禁违法违规融资担保行为，有效防范政府债务风险，严密防范重点企业债务风险，积极防控金融领域风险。牢牢守住不发生系统性风险底线，坚决守住生态保护红线、耕地保护红线、民生保障底线、资源利用上线。</w:t>
      </w:r>
    </w:p>
    <w:p>
      <w:pPr>
        <w:pStyle w:val="2"/>
        <w:spacing w:line="600" w:lineRule="exact"/>
        <w:ind w:firstLine="360"/>
      </w:pPr>
      <w:r>
        <w:br w:type="page"/>
      </w:r>
    </w:p>
    <w:p>
      <w:pPr>
        <w:pStyle w:val="3"/>
        <w:spacing w:before="0" w:afterLines="10" w:line="600" w:lineRule="exact"/>
        <w:rPr>
          <w:sz w:val="36"/>
        </w:rPr>
      </w:pPr>
      <w:bookmarkStart w:id="89" w:name="_Toc50889050"/>
      <w:bookmarkStart w:id="90" w:name="_Toc50889144"/>
      <w:bookmarkStart w:id="91" w:name="_Toc58853086"/>
      <w:bookmarkStart w:id="92" w:name="_Toc50887008"/>
      <w:bookmarkStart w:id="93" w:name="_Toc47622033"/>
      <w:r>
        <w:rPr>
          <w:rFonts w:hint="eastAsia" w:ascii="黑体" w:hAnsi="黑体" w:cs="黑体"/>
          <w:b w:val="0"/>
          <w:bCs w:val="0"/>
          <w:sz w:val="32"/>
          <w:szCs w:val="32"/>
        </w:rPr>
        <w:t>第四章 强化创新驱动，培育壮大新动能</w:t>
      </w:r>
      <w:bookmarkEnd w:id="89"/>
      <w:bookmarkEnd w:id="90"/>
      <w:bookmarkEnd w:id="91"/>
      <w:bookmarkEnd w:id="92"/>
      <w:bookmarkEnd w:id="93"/>
    </w:p>
    <w:p>
      <w:pPr>
        <w:overflowPunct w:val="0"/>
        <w:adjustRightInd w:val="0"/>
        <w:snapToGrid w:val="0"/>
        <w:spacing w:line="600" w:lineRule="exact"/>
        <w:ind w:firstLine="640"/>
        <w:rPr>
          <w:rFonts w:ascii="仿宋_GB2312" w:hAnsi="仿宋_GB2312" w:eastAsia="仿宋_GB2312" w:cs="仿宋_GB2312"/>
          <w:szCs w:val="32"/>
        </w:rPr>
      </w:pPr>
      <w:r>
        <w:rPr>
          <w:rFonts w:hint="eastAsia" w:ascii="仿宋_GB2312" w:hAnsi="仿宋_GB2312" w:eastAsia="仿宋_GB2312" w:cs="仿宋_GB2312"/>
          <w:szCs w:val="32"/>
        </w:rPr>
        <w:t>坚持把创新作为引领调兵山全面振兴全方位振兴的第一动力，全面贯彻落实创新驱动战略，围绕加快经济转型、推动高质量发展、实现全面振兴各项工作，坚持面向全市重大战略需求、经济社会发展主战场，不断提升科技创新能力，为实现资源型城市创新转型提供支撑。</w:t>
      </w:r>
    </w:p>
    <w:p>
      <w:pPr>
        <w:pStyle w:val="4"/>
        <w:spacing w:before="0" w:after="0" w:line="600" w:lineRule="exact"/>
        <w:rPr>
          <w:rFonts w:ascii="楷体_GB2312" w:hAnsi="楷体_GB2312" w:eastAsia="楷体_GB2312" w:cs="楷体_GB2312"/>
          <w:bCs w:val="0"/>
        </w:rPr>
      </w:pPr>
      <w:bookmarkStart w:id="94" w:name="_Toc50889051"/>
      <w:bookmarkStart w:id="95" w:name="_Toc47622034"/>
      <w:bookmarkStart w:id="96" w:name="_Toc29187"/>
      <w:bookmarkStart w:id="97" w:name="_Toc50887009"/>
      <w:bookmarkStart w:id="98" w:name="_Toc34835750"/>
      <w:bookmarkStart w:id="99" w:name="_Toc1041"/>
      <w:bookmarkStart w:id="100" w:name="_Toc50889145"/>
      <w:bookmarkStart w:id="101" w:name="_Toc45120098"/>
      <w:bookmarkStart w:id="102" w:name="_Toc58853087"/>
      <w:r>
        <w:rPr>
          <w:rFonts w:hint="eastAsia" w:ascii="楷体_GB2312" w:hAnsi="楷体_GB2312" w:eastAsia="楷体_GB2312" w:cs="楷体_GB2312"/>
          <w:bCs w:val="0"/>
        </w:rPr>
        <w:t xml:space="preserve">第一节  </w:t>
      </w:r>
      <w:bookmarkEnd w:id="94"/>
      <w:bookmarkEnd w:id="95"/>
      <w:bookmarkEnd w:id="96"/>
      <w:bookmarkEnd w:id="97"/>
      <w:bookmarkEnd w:id="98"/>
      <w:bookmarkEnd w:id="99"/>
      <w:bookmarkEnd w:id="100"/>
      <w:bookmarkEnd w:id="101"/>
      <w:r>
        <w:rPr>
          <w:rFonts w:hint="eastAsia" w:ascii="楷体_GB2312" w:hAnsi="楷体_GB2312" w:eastAsia="楷体_GB2312" w:cs="楷体_GB2312"/>
          <w:bCs w:val="0"/>
        </w:rPr>
        <w:t>高标准培育创新主体</w:t>
      </w:r>
      <w:bookmarkEnd w:id="102"/>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28"/>
        </w:rPr>
        <w:t>推进公共创新平台建设。</w:t>
      </w:r>
      <w:r>
        <w:rPr>
          <w:rFonts w:hint="eastAsia" w:ascii="仿宋_GB2312" w:hAnsi="仿宋_GB2312" w:eastAsia="仿宋_GB2312" w:cs="仿宋_GB2312"/>
          <w:szCs w:val="32"/>
        </w:rPr>
        <w:t>充分发挥调兵山经济开发区载体作用，吸引和集聚创新资源。利用现有企业技术中心、工程技术研究中心、重点实验室、院士工作站、专家工作站及校企合作等打造公共服务体系。共建共享咨询中介平台、科学仪器设备共享平台、科技成果转化交易平台、金融综合服务平台、公共资源交易平台、人才服务平台，为工业企业快速发展提供良好的要素保障。</w:t>
      </w:r>
    </w:p>
    <w:p>
      <w:pPr>
        <w:spacing w:line="600" w:lineRule="exact"/>
        <w:ind w:firstLine="643"/>
        <w:textAlignment w:val="baseline"/>
        <w:rPr>
          <w:rFonts w:ascii="仿宋_GB2312" w:hAnsi="仿宋_GB2312" w:eastAsia="仿宋_GB2312" w:cs="仿宋_GB2312"/>
          <w:szCs w:val="32"/>
        </w:rPr>
      </w:pPr>
      <w:r>
        <w:rPr>
          <w:rFonts w:hint="eastAsia" w:ascii="仿宋_GB2312" w:hAnsi="仿宋_GB2312" w:eastAsia="仿宋_GB2312" w:cs="仿宋_GB2312"/>
          <w:b/>
          <w:szCs w:val="32"/>
        </w:rPr>
        <w:t>推进企业科技创新。</w:t>
      </w:r>
      <w:r>
        <w:rPr>
          <w:rFonts w:hint="eastAsia" w:ascii="仿宋_GB2312" w:hAnsi="仿宋_GB2312" w:eastAsia="仿宋_GB2312" w:cs="仿宋_GB2312"/>
          <w:szCs w:val="32"/>
        </w:rPr>
        <w:t>以科技引领产业振兴，大力发展以新能源新材料、再生资源、智能绿色制造等为核心的高新技术企业，抓好科技领军企业建设，加强以企业主体的创新平台建设，建立产业创新发展支撑体系。开展产学研技术联盟合作对接，到2025年，高新技术企业达到20户，科技领军企业达到10户，</w:t>
      </w:r>
      <w:r>
        <w:rPr>
          <w:rFonts w:hint="eastAsia" w:ascii="仿宋_GB2312" w:hAnsi="仿宋_GB2312" w:eastAsia="仿宋_GB2312" w:cs="仿宋_GB2312"/>
          <w:bCs/>
          <w:szCs w:val="32"/>
        </w:rPr>
        <w:t>开展产学研合作重大科技成果转化项目10个，引进3个院士和专家工作服务团队。</w:t>
      </w:r>
    </w:p>
    <w:p>
      <w:pPr>
        <w:spacing w:line="600" w:lineRule="exact"/>
        <w:ind w:firstLine="643"/>
        <w:textAlignment w:val="baseline"/>
        <w:rPr>
          <w:rFonts w:ascii="仿宋_GB2312" w:hAnsi="Times New Roman" w:eastAsia="仿宋_GB2312" w:cs="Times New Roman"/>
          <w:szCs w:val="32"/>
        </w:rPr>
      </w:pPr>
      <w:r>
        <w:rPr>
          <w:rFonts w:hint="eastAsia" w:ascii="仿宋_GB2312" w:hAnsi="仿宋_GB2312" w:eastAsia="仿宋_GB2312" w:cs="仿宋_GB2312"/>
          <w:b/>
          <w:szCs w:val="32"/>
        </w:rPr>
        <w:t>打造科技创新体系。</w:t>
      </w:r>
      <w:r>
        <w:rPr>
          <w:rFonts w:hint="eastAsia" w:ascii="仿宋_GB2312" w:hAnsi="仿宋_GB2312" w:eastAsia="仿宋_GB2312" w:cs="仿宋_GB2312"/>
          <w:lang w:val="zh-CN"/>
        </w:rPr>
        <w:t>加强科技专家、智库、行业协会等对重大科技创新决策的支撑作用，对于竞争性的新科技、新产品、新业态开发交由市场和企业决定。</w:t>
      </w:r>
      <w:r>
        <w:rPr>
          <w:rFonts w:hint="eastAsia" w:ascii="仿宋_GB2312" w:hAnsi="仿宋_GB2312" w:eastAsia="仿宋_GB2312" w:cs="仿宋_GB2312"/>
          <w:szCs w:val="32"/>
        </w:rPr>
        <w:t>围绕农业、工业、服务业、城镇化建设、资源利用、生态环境、卫生健康、公共安全等领域，实施一批公共服务领域科技研究与应用项目。</w:t>
      </w:r>
    </w:p>
    <w:p>
      <w:pPr>
        <w:pStyle w:val="6"/>
        <w:spacing w:before="156" w:after="156"/>
        <w:jc w:val="center"/>
        <w:rPr>
          <w:rFonts w:ascii="楷体" w:hAnsi="楷体" w:eastAsia="楷体"/>
          <w:sz w:val="28"/>
        </w:rPr>
      </w:pPr>
      <w:r>
        <w:rPr>
          <w:rFonts w:hint="eastAsia" w:ascii="楷体" w:hAnsi="楷体" w:eastAsia="楷体"/>
          <w:sz w:val="28"/>
        </w:rPr>
        <w:t>专栏1 “十四五”时期科技创新领域重点工程</w:t>
      </w:r>
    </w:p>
    <w:p>
      <w:pPr>
        <w:pStyle w:val="2"/>
        <w:pBdr>
          <w:top w:val="single" w:color="auto" w:sz="4" w:space="1"/>
          <w:left w:val="single" w:color="auto" w:sz="4" w:space="4"/>
          <w:bottom w:val="single" w:color="auto" w:sz="4" w:space="1"/>
          <w:right w:val="single" w:color="auto" w:sz="4" w:space="4"/>
        </w:pBdr>
        <w:spacing w:line="360" w:lineRule="auto"/>
        <w:ind w:firstLine="482"/>
        <w:jc w:val="left"/>
        <w:rPr>
          <w:rFonts w:asciiTheme="minorEastAsia" w:hAnsiTheme="minorEastAsia" w:eastAsiaTheme="minorEastAsia"/>
          <w:sz w:val="24"/>
          <w:szCs w:val="24"/>
        </w:rPr>
      </w:pPr>
      <w:r>
        <w:rPr>
          <w:rFonts w:hint="eastAsia" w:cs="Times New Roman" w:asciiTheme="minorEastAsia" w:hAnsiTheme="minorEastAsia" w:eastAsiaTheme="minorEastAsia"/>
          <w:b/>
          <w:bCs/>
          <w:sz w:val="24"/>
          <w:szCs w:val="24"/>
        </w:rPr>
        <w:t>1.高新技术产业提升工程。</w:t>
      </w:r>
      <w:r>
        <w:rPr>
          <w:rFonts w:hint="eastAsia" w:asciiTheme="minorEastAsia" w:hAnsiTheme="minorEastAsia" w:eastAsiaTheme="minorEastAsia"/>
          <w:sz w:val="24"/>
          <w:szCs w:val="24"/>
        </w:rPr>
        <w:t>重点突破煤矿智能化采掘设备研发、煤矿智能开敞式全断面硬岩掘进机研发、煤矿综采设备安装回撤3.0版（321系统工程）开发、医用CT机机电系统总成研发、物联网水表开发、大规格超高功率石墨电极系统化研究；</w:t>
      </w:r>
      <w:r>
        <w:rPr>
          <w:rFonts w:hint="eastAsia" w:asciiTheme="minorEastAsia" w:hAnsiTheme="minorEastAsia" w:eastAsiaTheme="minorEastAsia"/>
          <w:b/>
          <w:sz w:val="24"/>
          <w:szCs w:val="24"/>
        </w:rPr>
        <w:t>2.科技型领军企业培育工程</w:t>
      </w:r>
      <w:r>
        <w:rPr>
          <w:rFonts w:hint="eastAsia" w:asciiTheme="minorEastAsia" w:hAnsiTheme="minorEastAsia" w:eastAsiaTheme="minorEastAsia"/>
          <w:sz w:val="24"/>
          <w:szCs w:val="24"/>
        </w:rPr>
        <w:t>。通用重机、鑫丰矿业、辽宁卡斯特、民生智能、嘉冠石化、辽宁汽众、辽宁尚威、麦琪医疗等；</w:t>
      </w:r>
      <w:r>
        <w:rPr>
          <w:rFonts w:hint="eastAsia" w:asciiTheme="minorEastAsia" w:hAnsiTheme="minorEastAsia" w:eastAsiaTheme="minorEastAsia"/>
          <w:b/>
          <w:sz w:val="24"/>
          <w:szCs w:val="24"/>
        </w:rPr>
        <w:t>3.现代农业科技体系建设工程。</w:t>
      </w:r>
      <w:r>
        <w:rPr>
          <w:rFonts w:hint="eastAsia" w:asciiTheme="minorEastAsia" w:hAnsiTheme="minorEastAsia" w:eastAsiaTheme="minorEastAsia"/>
          <w:sz w:val="24"/>
          <w:szCs w:val="24"/>
        </w:rPr>
        <w:t>开发沈康高速公路连接线两侧经济带，路南规划特种果树园区，路北规划特种蔬果种植区和创意农业区、药材花海种植区；</w:t>
      </w:r>
      <w:r>
        <w:rPr>
          <w:rFonts w:hint="eastAsia" w:asciiTheme="minorEastAsia" w:hAnsiTheme="minorEastAsia" w:eastAsiaTheme="minorEastAsia"/>
          <w:b/>
          <w:sz w:val="24"/>
          <w:szCs w:val="24"/>
        </w:rPr>
        <w:t>4.科技创新能力建设工程。</w:t>
      </w:r>
      <w:r>
        <w:rPr>
          <w:rFonts w:hint="eastAsia" w:asciiTheme="minorEastAsia" w:hAnsiTheme="minorEastAsia" w:eastAsiaTheme="minorEastAsia"/>
          <w:sz w:val="24"/>
          <w:szCs w:val="24"/>
        </w:rPr>
        <w:t>建成省级企业工程技术研究中心或重点实验室2-3家；培育新型创新主体企业（瞪羚企业）2-3家；</w:t>
      </w:r>
      <w:r>
        <w:rPr>
          <w:rFonts w:hint="eastAsia" w:asciiTheme="minorEastAsia" w:hAnsiTheme="minorEastAsia" w:eastAsiaTheme="minorEastAsia"/>
          <w:b/>
          <w:sz w:val="24"/>
          <w:szCs w:val="24"/>
        </w:rPr>
        <w:t>5.产学研技术联盟建设工程。</w:t>
      </w:r>
      <w:r>
        <w:rPr>
          <w:rFonts w:hint="eastAsia" w:asciiTheme="minorEastAsia" w:hAnsiTheme="minorEastAsia" w:eastAsiaTheme="minorEastAsia"/>
          <w:sz w:val="24"/>
          <w:szCs w:val="24"/>
        </w:rPr>
        <w:t>辽宁鑫丰矿业集团与山东科技大学矿山灾害预防控制国家重点实验室合作共建煤矿智能化采掘设备研究中心创新平台；铁能公司与中国矿大（北京）深部岩土力学与地下工程国家重点实验室（北京）联合成立“深部岩土力学与地下工程国家重点实验室铁法研究中心”;辽宁烯源石墨有限公司引进沈阳理工大学5人团队建立专家工作站；</w:t>
      </w:r>
      <w:r>
        <w:rPr>
          <w:rFonts w:hint="eastAsia" w:asciiTheme="minorEastAsia" w:hAnsiTheme="minorEastAsia" w:eastAsiaTheme="minorEastAsia"/>
          <w:b/>
          <w:sz w:val="24"/>
          <w:szCs w:val="24"/>
        </w:rPr>
        <w:t>6.智慧城市建设工程</w:t>
      </w:r>
      <w:r>
        <w:rPr>
          <w:rFonts w:hint="eastAsia" w:asciiTheme="minorEastAsia" w:hAnsiTheme="minorEastAsia" w:eastAsiaTheme="minorEastAsia"/>
          <w:sz w:val="24"/>
          <w:szCs w:val="24"/>
        </w:rPr>
        <w:t>。建设智慧政务、服务、系统、公安应急、社会管理、城市管理、交通、教育文化、智能舆情分析系统；</w:t>
      </w:r>
      <w:r>
        <w:rPr>
          <w:rFonts w:hint="eastAsia" w:asciiTheme="minorEastAsia" w:hAnsiTheme="minorEastAsia" w:eastAsiaTheme="minorEastAsia"/>
          <w:b/>
          <w:sz w:val="24"/>
          <w:szCs w:val="24"/>
        </w:rPr>
        <w:t>7.社会事业科技应用工程。</w:t>
      </w:r>
      <w:r>
        <w:rPr>
          <w:rFonts w:hint="eastAsia" w:asciiTheme="minorEastAsia" w:hAnsiTheme="minorEastAsia" w:eastAsiaTheme="minorEastAsia"/>
          <w:sz w:val="24"/>
          <w:szCs w:val="24"/>
        </w:rPr>
        <w:t>对重点工业污染、污水处理综合利用技术及设备研究和应用，如煤矸石发电的采用“烟气低位能分级蒸发技术，实现废水零排放”项目，空冷岛、烟气余热利用项目；国投生物能源的乙醇工艺污水零排放生产技术。新型建材、绿色建材、替代建材应用技术开发；对煤矿</w:t>
      </w:r>
      <w:bookmarkStart w:id="306" w:name="_GoBack"/>
      <w:bookmarkEnd w:id="306"/>
      <w:r>
        <w:rPr>
          <w:rFonts w:hint="eastAsia" w:asciiTheme="minorEastAsia" w:hAnsiTheme="minorEastAsia" w:eastAsiaTheme="minorEastAsia"/>
          <w:sz w:val="24"/>
          <w:szCs w:val="24"/>
          <w:lang w:eastAsia="zh-CN"/>
        </w:rPr>
        <w:t>安全生产</w:t>
      </w:r>
      <w:r>
        <w:rPr>
          <w:rFonts w:hint="eastAsia" w:asciiTheme="minorEastAsia" w:hAnsiTheme="minorEastAsia" w:eastAsiaTheme="minorEastAsia"/>
          <w:sz w:val="24"/>
          <w:szCs w:val="24"/>
        </w:rPr>
        <w:t>技术研究与应用，如铁能公司与中国矿大合作的软岩支护及重大灾害治理技术项目；对绿色节能、新能源技术开发；推进疾病防治、诊断、治疗技术开发应用。</w:t>
      </w:r>
    </w:p>
    <w:p>
      <w:pPr>
        <w:pStyle w:val="4"/>
        <w:spacing w:before="0" w:after="0" w:line="600" w:lineRule="exact"/>
        <w:rPr>
          <w:rFonts w:ascii="楷体_GB2312" w:hAnsi="楷体_GB2312" w:eastAsia="楷体_GB2312" w:cs="楷体_GB2312"/>
          <w:bCs w:val="0"/>
        </w:rPr>
      </w:pPr>
      <w:bookmarkStart w:id="103" w:name="_Toc58853088"/>
      <w:r>
        <w:rPr>
          <w:rFonts w:hint="eastAsia" w:ascii="楷体_GB2312" w:hAnsi="楷体_GB2312" w:eastAsia="楷体_GB2312" w:cs="楷体_GB2312"/>
          <w:bCs w:val="0"/>
        </w:rPr>
        <w:t>第二节 提升企业技术创新能力</w:t>
      </w:r>
      <w:bookmarkEnd w:id="103"/>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加大科技型企业培育力度。</w:t>
      </w:r>
      <w:r>
        <w:rPr>
          <w:rFonts w:hint="eastAsia" w:ascii="仿宋_GB2312" w:hAnsi="仿宋_GB2312" w:eastAsia="仿宋_GB2312" w:cs="仿宋_GB2312"/>
          <w:szCs w:val="32"/>
        </w:rPr>
        <w:t>落实高新技术企业倍增计划，储备高新技术企业后备力量，不断壮大高新技术企业群体，实现高新技术产业及战略性新兴产业持续发展。以企业为创新主体，抓好科技领军企业建设。</w:t>
      </w:r>
      <w:r>
        <w:rPr>
          <w:rFonts w:hint="eastAsia" w:ascii="仿宋_GB2312" w:hAnsi="仿宋_GB2312" w:eastAsia="仿宋_GB2312" w:cs="仿宋_GB2312"/>
          <w:bCs/>
          <w:szCs w:val="32"/>
        </w:rPr>
        <w:t>实施提升企业技术创新能力行动计划和创新型中小企业成长扶持计划，加快构建以企业为主体、市场为导向、产学研结合的技术创新体系。</w:t>
      </w:r>
    </w:p>
    <w:p>
      <w:pPr>
        <w:spacing w:line="600" w:lineRule="exact"/>
        <w:ind w:firstLine="643"/>
        <w:jc w:val="left"/>
        <w:rPr>
          <w:rFonts w:ascii="仿宋_GB2312" w:hAnsi="仿宋_GB2312" w:eastAsia="仿宋_GB2312" w:cs="仿宋_GB2312"/>
          <w:szCs w:val="32"/>
        </w:rPr>
      </w:pPr>
      <w:r>
        <w:rPr>
          <w:rFonts w:hint="eastAsia" w:ascii="仿宋_GB2312" w:hAnsi="仿宋_GB2312" w:eastAsia="仿宋_GB2312" w:cs="仿宋_GB2312"/>
          <w:b/>
          <w:szCs w:val="32"/>
        </w:rPr>
        <w:t>加强科技研发和成果转化。</w:t>
      </w:r>
      <w:r>
        <w:rPr>
          <w:rFonts w:hint="eastAsia" w:ascii="仿宋_GB2312" w:hAnsi="仿宋_GB2312" w:eastAsia="仿宋_GB2312" w:cs="仿宋_GB2312"/>
          <w:szCs w:val="32"/>
        </w:rPr>
        <w:t>充分发挥财政资金投入的引导作用，</w:t>
      </w:r>
      <w:r>
        <w:rPr>
          <w:rFonts w:hint="eastAsia" w:ascii="仿宋_GB2312" w:hAnsi="仿宋_GB2312" w:eastAsia="仿宋_GB2312" w:cs="仿宋_GB2312"/>
          <w:kern w:val="0"/>
          <w:szCs w:val="32"/>
        </w:rPr>
        <w:t>推动行业重大关键技术研发和产业化，鼓励企业承担智能制造、绿色制造、服务型制造、工业互联网等试点示范项目。建立高新技术企业培育库，工程实验室、工程研究中心、技术中心培育库。</w:t>
      </w:r>
      <w:r>
        <w:rPr>
          <w:rFonts w:hint="eastAsia" w:ascii="仿宋_GB2312" w:hAnsi="仿宋_GB2312" w:eastAsia="仿宋_GB2312" w:cs="仿宋_GB2312"/>
          <w:szCs w:val="32"/>
        </w:rPr>
        <w:t>探索以“科创飞地”模式建设创新平台，积极推进与高校院所的合作，引导企业开展科技合作交流活动，争取合作项目第一时间成功转化。</w:t>
      </w:r>
      <w:bookmarkStart w:id="104" w:name="_Toc56375755"/>
    </w:p>
    <w:p>
      <w:pPr>
        <w:spacing w:line="600" w:lineRule="exact"/>
        <w:ind w:firstLine="643"/>
        <w:jc w:val="left"/>
        <w:rPr>
          <w:rFonts w:ascii="仿宋" w:hAnsi="仿宋" w:cs="仿宋"/>
          <w:szCs w:val="32"/>
        </w:rPr>
      </w:pPr>
      <w:r>
        <w:rPr>
          <w:rFonts w:hint="eastAsia" w:ascii="仿宋_GB2312" w:hAnsi="仿宋_GB2312" w:eastAsia="仿宋_GB2312" w:cs="仿宋_GB2312"/>
          <w:b/>
          <w:szCs w:val="32"/>
          <w:lang w:val="zh-CN"/>
        </w:rPr>
        <w:t>加大科技创新资金支持。</w:t>
      </w:r>
      <w:r>
        <w:rPr>
          <w:rFonts w:hint="eastAsia" w:ascii="仿宋_GB2312" w:hAnsi="仿宋_GB2312" w:eastAsia="仿宋_GB2312" w:cs="仿宋_GB2312"/>
          <w:szCs w:val="32"/>
          <w:lang w:val="zh-CN"/>
        </w:rPr>
        <w:t>保持财政科技支出持续稳定增长，提升财政资金支持创新效能，构建多元化资金投入模式。落实科技创新券制度，以政府购买服务方式“以券代补”。加强科技与金融结合，逐步建立“创业投资、银行信贷、产权质押、科技保险、科创板上市”科技金融服务体系。</w:t>
      </w:r>
      <w:r>
        <w:rPr>
          <w:rFonts w:hint="eastAsia" w:ascii="仿宋_GB2312" w:hAnsi="仿宋_GB2312" w:eastAsia="仿宋_GB2312" w:cs="仿宋_GB2312"/>
          <w:szCs w:val="32"/>
        </w:rPr>
        <w:t>到2025年，全市研究与发展经费（R＆D）投入占地区生产总值的1.5%以上，规模以上企业研发投入占销售收入的比重达到3%以上。</w:t>
      </w:r>
    </w:p>
    <w:p>
      <w:pPr>
        <w:pStyle w:val="4"/>
        <w:spacing w:before="0" w:after="0" w:line="600" w:lineRule="exact"/>
        <w:rPr>
          <w:rFonts w:ascii="楷体_GB2312" w:hAnsi="楷体_GB2312" w:eastAsia="楷体_GB2312" w:cs="楷体_GB2312"/>
        </w:rPr>
      </w:pPr>
      <w:bookmarkStart w:id="105" w:name="_Toc58853089"/>
      <w:r>
        <w:rPr>
          <w:rFonts w:hint="eastAsia" w:ascii="楷体_GB2312" w:hAnsi="楷体_GB2312" w:eastAsia="楷体_GB2312" w:cs="楷体_GB2312"/>
        </w:rPr>
        <w:t>第三节 激发人才创新活力</w:t>
      </w:r>
      <w:bookmarkEnd w:id="104"/>
      <w:bookmarkEnd w:id="105"/>
    </w:p>
    <w:p>
      <w:pPr>
        <w:autoSpaceDN w:val="0"/>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rPr>
        <w:t>加强人才队伍建设。</w:t>
      </w:r>
      <w:r>
        <w:rPr>
          <w:rFonts w:hint="eastAsia" w:ascii="仿宋_GB2312" w:hAnsi="仿宋_GB2312" w:eastAsia="仿宋_GB2312" w:cs="仿宋_GB2312"/>
        </w:rPr>
        <w:t>加大人才引进力度，着力引进高层次创新创业人才和高技能人才，对创业创新领军人才，按照“一事一议”办法予以支持。加强与高校、科研院所合作，推进“借智借脑”，培养造就一批具有国际水平的战略科技人才、科技领军人才、青年科技人才和高水平创新团队。</w:t>
      </w:r>
      <w:r>
        <w:rPr>
          <w:rFonts w:hint="eastAsia" w:ascii="仿宋_GB2312" w:hAnsi="仿宋_GB2312" w:eastAsia="仿宋_GB2312" w:cs="仿宋_GB2312"/>
          <w:lang w:val="zh-CN"/>
        </w:rPr>
        <w:t>深入开展“科技特派”行动，探索“科技挂职”“科技干部”等试点，扶持科技创新发展。</w:t>
      </w:r>
    </w:p>
    <w:p>
      <w:pPr>
        <w:autoSpaceDN w:val="0"/>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rPr>
        <w:t>全面提升人才服务保障水平。</w:t>
      </w:r>
      <w:r>
        <w:rPr>
          <w:rFonts w:hint="eastAsia" w:ascii="仿宋_GB2312" w:hAnsi="仿宋_GB2312" w:eastAsia="仿宋_GB2312" w:cs="仿宋_GB2312"/>
        </w:rPr>
        <w:t>健全人才服务保障政策，出台人才购房、医疗保障、子女入学、配偶就业等一系列政策，建设高层次人才“一站式”服务平台。建立并完善人才奖励制度，对全市经济社会发展中有重大创新或作出突出贡献的各类优秀人才给予表彰奖励。引导企业实施股权激励、分红等激励措施。</w:t>
      </w:r>
    </w:p>
    <w:p>
      <w:pPr>
        <w:pStyle w:val="6"/>
        <w:spacing w:before="156" w:after="156"/>
        <w:jc w:val="center"/>
        <w:rPr>
          <w:rFonts w:ascii="楷体" w:hAnsi="楷体" w:eastAsia="楷体"/>
          <w:sz w:val="28"/>
        </w:rPr>
      </w:pPr>
      <w:r>
        <w:rPr>
          <w:rFonts w:hint="eastAsia" w:ascii="楷体" w:hAnsi="楷体" w:eastAsia="楷体"/>
          <w:sz w:val="28"/>
        </w:rPr>
        <w:t>专栏2 “十四五”时期创新人才激励工程</w:t>
      </w:r>
    </w:p>
    <w:p>
      <w:pPr>
        <w:pStyle w:val="2"/>
        <w:pBdr>
          <w:top w:val="single" w:color="auto" w:sz="4" w:space="1"/>
          <w:left w:val="single" w:color="auto" w:sz="4" w:space="0"/>
          <w:bottom w:val="single" w:color="auto" w:sz="4" w:space="1"/>
          <w:right w:val="single" w:color="auto" w:sz="4" w:space="4"/>
        </w:pBdr>
        <w:spacing w:line="360" w:lineRule="auto"/>
        <w:ind w:firstLine="480"/>
        <w:jc w:val="left"/>
        <w:rPr>
          <w:rFonts w:asciiTheme="minorEastAsia" w:hAnsiTheme="minorEastAsia" w:eastAsiaTheme="minorEastAsia"/>
          <w:sz w:val="24"/>
          <w:szCs w:val="24"/>
        </w:rPr>
      </w:pPr>
      <w:r>
        <w:rPr>
          <w:rFonts w:hint="eastAsia" w:asciiTheme="minorEastAsia" w:hAnsiTheme="minorEastAsia" w:eastAsiaTheme="minorEastAsia"/>
          <w:sz w:val="24"/>
          <w:szCs w:val="24"/>
        </w:rPr>
        <w:t>1.高层次人才团队引进工程；2.本地科技创新领军人才和创新团队培育工程；3.海外高精尖人才引进工程；4.校企紧密合作型高技能人才培养工程；5.科技人才考评激励政策保障工程。</w:t>
      </w:r>
    </w:p>
    <w:p>
      <w:pPr>
        <w:pStyle w:val="4"/>
        <w:spacing w:before="0" w:after="0" w:line="600" w:lineRule="exact"/>
        <w:rPr>
          <w:rFonts w:ascii="楷体_GB2312" w:hAnsi="楷体_GB2312" w:eastAsia="楷体_GB2312" w:cs="楷体_GB2312"/>
          <w:bCs w:val="0"/>
        </w:rPr>
      </w:pPr>
      <w:bookmarkStart w:id="106" w:name="_Toc58853090"/>
      <w:bookmarkStart w:id="107" w:name="_Toc45120102"/>
      <w:r>
        <w:rPr>
          <w:rFonts w:hint="eastAsia" w:ascii="楷体_GB2312" w:hAnsi="楷体_GB2312" w:eastAsia="楷体_GB2312" w:cs="楷体_GB2312"/>
          <w:bCs w:val="0"/>
        </w:rPr>
        <w:t>第四节 培育数字经济发展新优势</w:t>
      </w:r>
      <w:bookmarkEnd w:id="106"/>
    </w:p>
    <w:p>
      <w:pPr>
        <w:spacing w:line="600" w:lineRule="exact"/>
        <w:ind w:firstLine="643"/>
        <w:jc w:val="left"/>
        <w:rPr>
          <w:rFonts w:ascii="仿宋_GB2312" w:hAnsi="仿宋_GB2312" w:eastAsia="仿宋_GB2312" w:cs="仿宋_GB2312"/>
          <w:bCs/>
          <w:szCs w:val="28"/>
        </w:rPr>
      </w:pPr>
      <w:r>
        <w:rPr>
          <w:rFonts w:hint="eastAsia" w:ascii="仿宋_GB2312" w:hAnsi="仿宋_GB2312" w:eastAsia="仿宋_GB2312" w:cs="仿宋_GB2312"/>
          <w:b/>
          <w:bCs/>
          <w:szCs w:val="28"/>
        </w:rPr>
        <w:t>加快“智慧调兵山” 建设。</w:t>
      </w:r>
      <w:r>
        <w:rPr>
          <w:rFonts w:hint="eastAsia" w:ascii="仿宋_GB2312" w:hAnsi="仿宋_GB2312" w:eastAsia="仿宋_GB2312" w:cs="仿宋_GB2312"/>
          <w:bCs/>
          <w:szCs w:val="28"/>
        </w:rPr>
        <w:t>充分运用人工智能、大数据、互联网、物联网、5G、云计算等各类先进技术，在智慧城市建设、优化产业结构和实现智能制造、生态环境保护、现代化智慧农业等方面重点突破，推动生产方式创新变革，重点推进智慧水务云管理平台和</w:t>
      </w:r>
      <w:r>
        <w:rPr>
          <w:rFonts w:hint="eastAsia" w:ascii="仿宋_GB2312" w:hAnsi="仿宋_GB2312" w:eastAsia="仿宋_GB2312" w:cs="仿宋_GB2312"/>
          <w:kern w:val="0"/>
          <w:szCs w:val="32"/>
        </w:rPr>
        <w:t>智慧电厂建设，</w:t>
      </w:r>
      <w:r>
        <w:rPr>
          <w:rFonts w:hint="eastAsia" w:ascii="仿宋_GB2312" w:hAnsi="仿宋_GB2312" w:eastAsia="仿宋_GB2312" w:cs="仿宋_GB2312"/>
          <w:bCs/>
          <w:szCs w:val="28"/>
        </w:rPr>
        <w:t>发展数字经济产业。</w:t>
      </w:r>
    </w:p>
    <w:p>
      <w:pPr>
        <w:spacing w:line="600" w:lineRule="exact"/>
        <w:ind w:firstLine="643"/>
        <w:jc w:val="left"/>
        <w:rPr>
          <w:rFonts w:ascii="仿宋_GB2312" w:hAnsi="仿宋_GB2312" w:eastAsia="仿宋_GB2312" w:cs="仿宋_GB2312"/>
          <w:bCs/>
          <w:szCs w:val="28"/>
        </w:rPr>
      </w:pPr>
      <w:r>
        <w:rPr>
          <w:rFonts w:hint="eastAsia" w:ascii="仿宋_GB2312" w:hAnsi="仿宋_GB2312" w:eastAsia="仿宋_GB2312" w:cs="仿宋_GB2312"/>
          <w:b/>
          <w:bCs/>
          <w:szCs w:val="28"/>
        </w:rPr>
        <w:t>推进“5G+工业互联网”融合发展。</w:t>
      </w:r>
      <w:r>
        <w:rPr>
          <w:rFonts w:hint="eastAsia" w:ascii="仿宋_GB2312" w:hAnsi="仿宋_GB2312" w:eastAsia="仿宋_GB2312" w:cs="仿宋_GB2312"/>
          <w:bCs/>
          <w:szCs w:val="28"/>
        </w:rPr>
        <w:t>鼓励企业与科研院所、高校开展“5G+工业互联网”融合技术、标准、解决方案评估验证等合作。推动工业企业建设“5G+工业互联网”示范工厂，重点推进国投生物能源（铁岭）公司</w:t>
      </w:r>
      <w:r>
        <w:rPr>
          <w:rFonts w:hint="eastAsia" w:ascii="仿宋_GB2312" w:hAnsi="仿宋_GB2312" w:eastAsia="仿宋_GB2312" w:cs="仿宋_GB2312"/>
          <w:szCs w:val="32"/>
        </w:rPr>
        <w:t>5G+工业互联网生物乙醇智慧工厂应用、辽宁汽众公司的智能化润滑油生产线建设</w:t>
      </w:r>
      <w:r>
        <w:rPr>
          <w:rFonts w:hint="eastAsia" w:ascii="仿宋_GB2312" w:hAnsi="仿宋_GB2312" w:eastAsia="仿宋_GB2312" w:cs="仿宋_GB2312"/>
          <w:kern w:val="0"/>
          <w:szCs w:val="32"/>
        </w:rPr>
        <w:t>，</w:t>
      </w:r>
      <w:r>
        <w:rPr>
          <w:rFonts w:hint="eastAsia" w:ascii="仿宋_GB2312" w:hAnsi="仿宋_GB2312" w:eastAsia="仿宋_GB2312" w:cs="仿宋_GB2312"/>
          <w:bCs/>
          <w:szCs w:val="28"/>
        </w:rPr>
        <w:t>加快5G和工业互联网在垂直行业融合应用，开展人工智能和工业互联网融合研究及应用，促进产业向智能化发展。</w:t>
      </w:r>
    </w:p>
    <w:p>
      <w:pPr>
        <w:spacing w:line="600" w:lineRule="exact"/>
        <w:ind w:firstLine="643"/>
        <w:jc w:val="left"/>
        <w:rPr>
          <w:rFonts w:ascii="仿宋_GB2312" w:hAnsi="仿宋_GB2312" w:eastAsia="仿宋_GB2312" w:cs="仿宋_GB2312"/>
          <w:szCs w:val="28"/>
        </w:rPr>
      </w:pPr>
      <w:r>
        <w:rPr>
          <w:rFonts w:hint="eastAsia" w:ascii="仿宋_GB2312" w:hAnsi="仿宋_GB2312" w:eastAsia="仿宋_GB2312" w:cs="仿宋_GB2312"/>
          <w:b/>
          <w:bCs/>
          <w:szCs w:val="28"/>
        </w:rPr>
        <w:t>培育发展新业态。</w:t>
      </w:r>
      <w:r>
        <w:rPr>
          <w:rFonts w:hint="eastAsia" w:ascii="仿宋_GB2312" w:hAnsi="仿宋_GB2312" w:eastAsia="仿宋_GB2312" w:cs="仿宋_GB2312"/>
          <w:szCs w:val="28"/>
        </w:rPr>
        <w:t>加快数字街区建设，建设集“吃住行娱乐购”为一体的生活服务区。搭建大数据与产业深度融合服务平台，推动传统领域数字化、网络化、智能化升级，重点推动农业、工业、卫生健康、教育、信用、交通、旅游、环保等行业和领域大数据应用建设。</w:t>
      </w:r>
    </w:p>
    <w:p>
      <w:pPr>
        <w:pStyle w:val="2"/>
        <w:ind w:firstLine="360"/>
      </w:pPr>
      <w:r>
        <w:br w:type="page"/>
      </w:r>
    </w:p>
    <w:bookmarkEnd w:id="107"/>
    <w:p>
      <w:pPr>
        <w:pStyle w:val="3"/>
        <w:spacing w:before="0" w:afterLines="10" w:line="600" w:lineRule="exact"/>
        <w:rPr>
          <w:rFonts w:ascii="黑体" w:hAnsi="黑体" w:cs="黑体"/>
          <w:b w:val="0"/>
          <w:bCs w:val="0"/>
          <w:sz w:val="32"/>
          <w:szCs w:val="32"/>
        </w:rPr>
      </w:pPr>
      <w:bookmarkStart w:id="108" w:name="_Toc47622038"/>
      <w:bookmarkStart w:id="109" w:name="_Toc50889054"/>
      <w:bookmarkStart w:id="110" w:name="_Toc50887012"/>
      <w:bookmarkStart w:id="111" w:name="_Toc50889148"/>
      <w:bookmarkStart w:id="112" w:name="_Toc58853091"/>
      <w:r>
        <w:rPr>
          <w:rFonts w:hint="eastAsia" w:ascii="黑体" w:hAnsi="黑体" w:cs="黑体"/>
          <w:b w:val="0"/>
          <w:bCs w:val="0"/>
          <w:sz w:val="32"/>
          <w:szCs w:val="32"/>
        </w:rPr>
        <w:t xml:space="preserve">第五章 </w:t>
      </w:r>
      <w:bookmarkEnd w:id="108"/>
      <w:r>
        <w:rPr>
          <w:rFonts w:hint="eastAsia" w:ascii="黑体" w:hAnsi="黑体" w:cs="黑体"/>
          <w:b w:val="0"/>
          <w:bCs w:val="0"/>
          <w:sz w:val="32"/>
          <w:szCs w:val="32"/>
        </w:rPr>
        <w:t>发展特色农业，</w:t>
      </w:r>
      <w:bookmarkEnd w:id="109"/>
      <w:bookmarkEnd w:id="110"/>
      <w:bookmarkEnd w:id="111"/>
      <w:r>
        <w:rPr>
          <w:rFonts w:hint="eastAsia" w:ascii="黑体" w:hAnsi="黑体" w:cs="黑体"/>
          <w:b w:val="0"/>
          <w:bCs w:val="0"/>
          <w:sz w:val="32"/>
          <w:szCs w:val="32"/>
        </w:rPr>
        <w:t>推动农业三产融合发展</w:t>
      </w:r>
      <w:bookmarkEnd w:id="112"/>
    </w:p>
    <w:p>
      <w:pPr>
        <w:spacing w:line="600" w:lineRule="exact"/>
        <w:ind w:firstLine="640"/>
      </w:pPr>
      <w:r>
        <w:rPr>
          <w:rFonts w:hint="eastAsia" w:ascii="仿宋_GB2312" w:hAnsi="仿宋_GB2312" w:eastAsia="仿宋_GB2312" w:cs="仿宋_GB2312"/>
          <w:szCs w:val="28"/>
        </w:rPr>
        <w:t>“十四五”时期，农业发展</w:t>
      </w:r>
      <w:r>
        <w:rPr>
          <w:rFonts w:hint="eastAsia" w:ascii="仿宋_GB2312" w:hAnsi="仿宋_GB2312" w:eastAsia="仿宋_GB2312" w:cs="仿宋_GB2312"/>
          <w:szCs w:val="32"/>
        </w:rPr>
        <w:t>以建成调兵山城市“菜篮子”产品重要供给区，发展特色农业、深化农业产业化经营、提升农民组织化程度、转变农业发展方式为主线，着力构建一二三产业融合发展的现代农业产业体系，打造集聚化规模化特色农业，丰富乡村经济业态，拓展农民增收空间。</w:t>
      </w:r>
    </w:p>
    <w:p>
      <w:pPr>
        <w:pStyle w:val="4"/>
        <w:spacing w:before="0" w:after="0" w:line="600" w:lineRule="exact"/>
        <w:rPr>
          <w:rFonts w:ascii="楷体_GB2312" w:hAnsi="楷体_GB2312" w:eastAsia="楷体_GB2312" w:cs="楷体_GB2312"/>
          <w:bCs w:val="0"/>
        </w:rPr>
      </w:pPr>
      <w:bookmarkStart w:id="113" w:name="_Toc50889055"/>
      <w:bookmarkStart w:id="114" w:name="_Toc50887013"/>
      <w:bookmarkStart w:id="115" w:name="_Toc50889149"/>
      <w:bookmarkStart w:id="116" w:name="_Toc47622040"/>
      <w:bookmarkStart w:id="117" w:name="_Toc58853092"/>
      <w:r>
        <w:rPr>
          <w:rFonts w:hint="eastAsia" w:ascii="楷体_GB2312" w:hAnsi="楷体_GB2312" w:eastAsia="楷体_GB2312" w:cs="楷体_GB2312"/>
          <w:bCs w:val="0"/>
        </w:rPr>
        <w:t xml:space="preserve">第一节 </w:t>
      </w:r>
      <w:bookmarkEnd w:id="113"/>
      <w:bookmarkEnd w:id="114"/>
      <w:bookmarkEnd w:id="115"/>
      <w:bookmarkEnd w:id="116"/>
      <w:r>
        <w:rPr>
          <w:rFonts w:hint="eastAsia" w:ascii="楷体_GB2312" w:hAnsi="楷体_GB2312" w:eastAsia="楷体_GB2312" w:cs="楷体_GB2312"/>
          <w:bCs w:val="0"/>
        </w:rPr>
        <w:t>加快发展特色农业</w:t>
      </w:r>
      <w:bookmarkEnd w:id="117"/>
    </w:p>
    <w:p>
      <w:pPr>
        <w:spacing w:line="600" w:lineRule="exact"/>
        <w:ind w:firstLine="643"/>
        <w:contextualSpacing/>
        <w:rPr>
          <w:rFonts w:ascii="仿宋_GB2312" w:hAnsi="仿宋_GB2312" w:eastAsia="仿宋_GB2312" w:cs="仿宋_GB2312"/>
          <w:szCs w:val="32"/>
        </w:rPr>
      </w:pPr>
      <w:r>
        <w:rPr>
          <w:rFonts w:hint="eastAsia" w:ascii="仿宋_GB2312" w:hAnsi="仿宋_GB2312" w:eastAsia="仿宋_GB2312" w:cs="仿宋_GB2312"/>
          <w:b/>
          <w:szCs w:val="32"/>
        </w:rPr>
        <w:t>优化农业产业布局。</w:t>
      </w:r>
      <w:r>
        <w:rPr>
          <w:rFonts w:hint="eastAsia" w:ascii="仿宋_GB2312" w:hAnsi="仿宋_GB2312" w:eastAsia="仿宋_GB2312" w:cs="仿宋_GB2312"/>
          <w:szCs w:val="32"/>
        </w:rPr>
        <w:t>规划布局三大产业功能区。包括西部山区生态农业功能区、中部平原粮食生产功能区、东部采煤沉陷区都市休闲农业功能区。</w:t>
      </w:r>
    </w:p>
    <w:p>
      <w:pPr>
        <w:pStyle w:val="6"/>
        <w:spacing w:before="156" w:after="156"/>
        <w:jc w:val="center"/>
        <w:rPr>
          <w:rFonts w:ascii="楷体" w:hAnsi="楷体" w:eastAsia="楷体"/>
          <w:sz w:val="28"/>
        </w:rPr>
      </w:pPr>
      <w:r>
        <w:rPr>
          <w:rFonts w:hint="eastAsia" w:ascii="楷体" w:hAnsi="楷体" w:eastAsia="楷体"/>
          <w:sz w:val="28"/>
        </w:rPr>
        <w:t>专栏3 “十四五”时期调兵山市农业产业布局</w:t>
      </w:r>
    </w:p>
    <w:p>
      <w:pPr>
        <w:pStyle w:val="2"/>
        <w:pBdr>
          <w:top w:val="single" w:color="auto" w:sz="4" w:space="1"/>
          <w:left w:val="single" w:color="auto" w:sz="4" w:space="4"/>
          <w:bottom w:val="single" w:color="auto" w:sz="4" w:space="1"/>
          <w:right w:val="single" w:color="auto" w:sz="4" w:space="4"/>
        </w:pBdr>
        <w:spacing w:line="360" w:lineRule="auto"/>
        <w:ind w:firstLine="482"/>
        <w:jc w:val="left"/>
        <w:rPr>
          <w:rFonts w:asciiTheme="minorEastAsia" w:hAnsiTheme="minorEastAsia" w:eastAsiaTheme="minorEastAsia"/>
          <w:sz w:val="24"/>
          <w:szCs w:val="24"/>
        </w:rPr>
      </w:pPr>
      <w:r>
        <w:rPr>
          <w:rFonts w:hint="eastAsia" w:asciiTheme="minorEastAsia" w:hAnsiTheme="minorEastAsia" w:eastAsiaTheme="minorEastAsia"/>
          <w:b/>
          <w:sz w:val="24"/>
          <w:szCs w:val="24"/>
        </w:rPr>
        <w:t>1.西部山区生态农业功能区</w:t>
      </w:r>
      <w:r>
        <w:rPr>
          <w:rFonts w:hint="eastAsia" w:asciiTheme="minorEastAsia" w:hAnsiTheme="minorEastAsia" w:eastAsiaTheme="minorEastAsia"/>
          <w:sz w:val="24"/>
          <w:szCs w:val="24"/>
        </w:rPr>
        <w:t>。将泉眼沟村、高力沟村、锁龙沟村、调兵山村、太平山村5个西部浅山区村规划为生态休闲特色农业功能区。重点以保护生态为主，大力发展林果经济，开发建设以采摘园为依托的休闲山庄，打造生态观光农业；</w:t>
      </w:r>
      <w:r>
        <w:rPr>
          <w:rFonts w:hint="eastAsia" w:asciiTheme="minorEastAsia" w:hAnsiTheme="minorEastAsia" w:eastAsiaTheme="minorEastAsia"/>
          <w:b/>
          <w:sz w:val="24"/>
          <w:szCs w:val="24"/>
        </w:rPr>
        <w:t>2.中部平原区粮食生产功能区</w:t>
      </w:r>
      <w:r>
        <w:rPr>
          <w:rFonts w:hint="eastAsia" w:asciiTheme="minorEastAsia" w:hAnsiTheme="minorEastAsia" w:eastAsiaTheme="minorEastAsia"/>
          <w:sz w:val="24"/>
          <w:szCs w:val="24"/>
        </w:rPr>
        <w:t>。中部平原地区加快调整籽粒玉米种植面积，推广扩大马铃薯，小麦等两季作物。重点实施马铃薯主粮化工程，“十四五”时期末力争达到5万亩，形成东北重要马铃薯种植基地；</w:t>
      </w:r>
      <w:r>
        <w:rPr>
          <w:rFonts w:hint="eastAsia" w:asciiTheme="minorEastAsia" w:hAnsiTheme="minorEastAsia" w:eastAsiaTheme="minorEastAsia"/>
          <w:b/>
          <w:sz w:val="24"/>
          <w:szCs w:val="24"/>
        </w:rPr>
        <w:t>3.东部采煤沉陷区都市休闲农业功能区。</w:t>
      </w:r>
      <w:r>
        <w:rPr>
          <w:rFonts w:hint="eastAsia" w:asciiTheme="minorEastAsia" w:hAnsiTheme="minorEastAsia" w:eastAsiaTheme="minorEastAsia"/>
          <w:sz w:val="24"/>
          <w:szCs w:val="24"/>
        </w:rPr>
        <w:t>加大土地复垦力度，充分利用下沉水面，发展水稻种植、水产养殖业，形成以垂钓园为主的休闲农业。</w:t>
      </w:r>
    </w:p>
    <w:p>
      <w:pPr>
        <w:spacing w:line="600" w:lineRule="exact"/>
        <w:ind w:firstLine="643"/>
        <w:contextualSpacing/>
        <w:rPr>
          <w:rFonts w:ascii="仿宋_GB2312" w:hAnsi="仿宋_GB2312" w:eastAsia="仿宋_GB2312" w:cs="仿宋_GB2312"/>
          <w:kern w:val="0"/>
          <w:szCs w:val="32"/>
        </w:rPr>
      </w:pPr>
      <w:r>
        <w:rPr>
          <w:rStyle w:val="32"/>
          <w:rFonts w:hint="eastAsia" w:ascii="仿宋_GB2312" w:hAnsi="仿宋_GB2312" w:eastAsia="仿宋_GB2312" w:cs="仿宋_GB2312"/>
        </w:rPr>
        <w:t>优化农业产业结构。</w:t>
      </w:r>
      <w:r>
        <w:rPr>
          <w:rFonts w:hint="eastAsia" w:ascii="仿宋_GB2312" w:hAnsi="仿宋_GB2312" w:eastAsia="仿宋_GB2312" w:cs="仿宋_GB2312"/>
          <w:szCs w:val="32"/>
        </w:rPr>
        <w:t>稳定粮食生产面积和生产能力，粮食播种面积稳定在12万亩，粮食产能稳定在2亿斤以上。大力发展设施农业，建设高标准大棚，逐步形成蔬菜品种，推进绿色化、规模化、品牌化。沿城南高速公路连接线两侧规划高标准农业产业园。西部山区重点发展软枣猕猴桃、蓝莓、树莓、黑果花楸等林果经济作物。调整优化畜牧业、渔产业结构。</w:t>
      </w:r>
    </w:p>
    <w:p>
      <w:pPr>
        <w:pStyle w:val="4"/>
        <w:spacing w:before="0" w:after="0" w:line="600" w:lineRule="exact"/>
        <w:rPr>
          <w:rFonts w:ascii="楷体_GB2312" w:hAnsi="楷体_GB2312" w:eastAsia="楷体_GB2312" w:cs="楷体_GB2312"/>
          <w:bCs w:val="0"/>
        </w:rPr>
      </w:pPr>
      <w:bookmarkStart w:id="118" w:name="_Toc58853093"/>
      <w:r>
        <w:rPr>
          <w:rFonts w:hint="eastAsia" w:ascii="楷体_GB2312" w:hAnsi="楷体_GB2312" w:eastAsia="楷体_GB2312" w:cs="楷体_GB2312"/>
          <w:bCs w:val="0"/>
        </w:rPr>
        <w:t>第二节 推动农业一二三产业融合发展</w:t>
      </w:r>
      <w:bookmarkEnd w:id="118"/>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bCs/>
          <w:szCs w:val="28"/>
        </w:rPr>
        <w:t>推动食品加工业高质量发展。</w:t>
      </w:r>
      <w:r>
        <w:rPr>
          <w:rFonts w:hint="eastAsia" w:ascii="仿宋_GB2312" w:hAnsi="仿宋_GB2312" w:eastAsia="仿宋_GB2312" w:cs="仿宋_GB2312"/>
          <w:szCs w:val="32"/>
        </w:rPr>
        <w:t>依托城北工业园区现有国投生物、小王子食品、宏大肉禽等企业，推动食品加工业高质量发展。鼓励农产品加工企业建立“企业+合作社+农户”利益联结机制，建设标准化和规模化的原料生产基地，带动农户和农民合作社发展。以玉米深加工、马铃薯深加工、肉鸡产品深加工等产业为重点，积极引进农产品加工企业，推进农产品加工项目建设，延伸农产品加工产业链条。</w:t>
      </w:r>
    </w:p>
    <w:p>
      <w:pPr>
        <w:spacing w:line="600" w:lineRule="exact"/>
        <w:ind w:firstLine="643"/>
        <w:jc w:val="left"/>
        <w:rPr>
          <w:rFonts w:ascii="仿宋_GB2312" w:hAnsi="仿宋_GB2312" w:eastAsia="仿宋_GB2312" w:cs="仿宋_GB2312"/>
          <w:kern w:val="0"/>
          <w:szCs w:val="32"/>
        </w:rPr>
      </w:pPr>
      <w:r>
        <w:rPr>
          <w:rFonts w:hint="eastAsia" w:ascii="仿宋_GB2312" w:hAnsi="仿宋_GB2312" w:eastAsia="仿宋_GB2312" w:cs="仿宋_GB2312"/>
          <w:b/>
        </w:rPr>
        <w:t>打通农产品出村进城物流体系。</w:t>
      </w:r>
      <w:r>
        <w:rPr>
          <w:rFonts w:hint="eastAsia" w:ascii="仿宋_GB2312" w:hAnsi="仿宋_GB2312" w:eastAsia="仿宋_GB2312" w:cs="仿宋_GB2312"/>
        </w:rPr>
        <w:t>打造物流配送联通体系。</w:t>
      </w:r>
      <w:r>
        <w:rPr>
          <w:rFonts w:hint="eastAsia" w:ascii="仿宋_GB2312" w:hAnsi="仿宋_GB2312" w:eastAsia="仿宋_GB2312" w:cs="仿宋_GB2312"/>
          <w:kern w:val="0"/>
          <w:szCs w:val="32"/>
        </w:rPr>
        <w:t>加快发展冷链仓储建设。</w:t>
      </w:r>
      <w:r>
        <w:rPr>
          <w:rFonts w:hint="eastAsia" w:ascii="仿宋_GB2312" w:hAnsi="仿宋_GB2312" w:eastAsia="仿宋_GB2312" w:cs="仿宋_GB2312"/>
          <w:szCs w:val="32"/>
        </w:rPr>
        <w:t>支持农产品产地建设农产品贮藏保鲜、分级包装等设施。</w:t>
      </w:r>
      <w:r>
        <w:rPr>
          <w:rFonts w:hint="eastAsia" w:ascii="仿宋_GB2312" w:hAnsi="仿宋_GB2312" w:eastAsia="仿宋_GB2312" w:cs="仿宋_GB2312"/>
        </w:rPr>
        <w:t>发展市、镇、村三级共同配送，推动邮政、供销、商贸物流等资源整合，推进农产品批发市场、农贸市场建设，鼓励实体商业和电商有机结合，推动县域农资下乡和农产品进城双向配送，支持建设枢纽仓储物流配送中心，打通农村电子商务“最后一公里”。</w:t>
      </w:r>
    </w:p>
    <w:p>
      <w:pPr>
        <w:spacing w:line="600" w:lineRule="exact"/>
        <w:ind w:firstLine="643"/>
        <w:rPr>
          <w:rFonts w:ascii="仿宋_GB2312" w:hAnsi="仿宋_GB2312" w:eastAsia="仿宋_GB2312" w:cs="仿宋_GB2312"/>
          <w:szCs w:val="28"/>
        </w:rPr>
      </w:pPr>
      <w:r>
        <w:rPr>
          <w:rFonts w:hint="eastAsia" w:ascii="仿宋_GB2312" w:hAnsi="仿宋_GB2312" w:eastAsia="仿宋_GB2312" w:cs="仿宋_GB2312"/>
          <w:b/>
          <w:bCs/>
          <w:szCs w:val="28"/>
        </w:rPr>
        <w:t>发展乡村休闲旅游业。</w:t>
      </w:r>
      <w:r>
        <w:rPr>
          <w:rFonts w:hint="eastAsia" w:ascii="仿宋_GB2312" w:hAnsi="仿宋_GB2312" w:eastAsia="仿宋_GB2312" w:cs="仿宋_GB2312"/>
          <w:szCs w:val="28"/>
        </w:rPr>
        <w:t>加大旅游基础设施建设力度，重点实施各旅游节点厕所建设、重点景区交通衔接、旅游标识标牌设立、旅游住宿等基础建设，建设一批设施完备、功能多样的休闲观光园区、乡村民宿、森林人家和康养基地，培育一批美丽休闲乡村、乡村旅游重点村。</w:t>
      </w:r>
    </w:p>
    <w:p>
      <w:pPr>
        <w:spacing w:line="600" w:lineRule="exact"/>
        <w:ind w:firstLine="643"/>
        <w:rPr>
          <w:rFonts w:ascii="仿宋_GB2312" w:hAnsi="仿宋_GB2312" w:eastAsia="仿宋_GB2312" w:cs="仿宋_GB2312"/>
        </w:rPr>
      </w:pPr>
      <w:r>
        <w:rPr>
          <w:rFonts w:hint="eastAsia" w:ascii="仿宋_GB2312" w:hAnsi="仿宋_GB2312" w:eastAsia="仿宋_GB2312" w:cs="仿宋_GB2312"/>
          <w:b/>
        </w:rPr>
        <w:t>发展多类型融合业态。</w:t>
      </w:r>
      <w:r>
        <w:rPr>
          <w:rFonts w:hint="eastAsia" w:ascii="仿宋_GB2312" w:hAnsi="仿宋_GB2312" w:eastAsia="仿宋_GB2312" w:cs="仿宋_GB2312"/>
        </w:rPr>
        <w:t>形成“农业+”多业态发展态势，推进农业与加工流通业融合，发展中央厨房、直供直销、会员农业，推进农业与文化、旅游、教育、康养等产业融合，</w:t>
      </w:r>
      <w:bookmarkStart w:id="119" w:name="_Toc47622041"/>
      <w:r>
        <w:rPr>
          <w:rFonts w:hint="eastAsia" w:ascii="仿宋_GB2312" w:hAnsi="仿宋_GB2312" w:eastAsia="仿宋_GB2312" w:cs="仿宋_GB2312"/>
        </w:rPr>
        <w:t>发展创意农业、功能农业、田园综合体等。</w:t>
      </w:r>
    </w:p>
    <w:p>
      <w:pPr>
        <w:pStyle w:val="4"/>
        <w:spacing w:before="0" w:after="0" w:line="600" w:lineRule="exact"/>
        <w:rPr>
          <w:rFonts w:ascii="楷体_GB2312" w:hAnsi="楷体_GB2312" w:eastAsia="楷体_GB2312" w:cs="楷体_GB2312"/>
          <w:bCs w:val="0"/>
        </w:rPr>
      </w:pPr>
      <w:bookmarkStart w:id="120" w:name="_Toc50889150"/>
      <w:bookmarkStart w:id="121" w:name="_Toc50889056"/>
      <w:bookmarkStart w:id="122" w:name="_Toc50887014"/>
      <w:bookmarkStart w:id="123" w:name="_Toc58853094"/>
      <w:r>
        <w:rPr>
          <w:rFonts w:hint="eastAsia" w:ascii="楷体_GB2312" w:hAnsi="楷体_GB2312" w:eastAsia="楷体_GB2312" w:cs="楷体_GB2312"/>
          <w:bCs w:val="0"/>
        </w:rPr>
        <w:t xml:space="preserve">第三节 </w:t>
      </w:r>
      <w:bookmarkEnd w:id="119"/>
      <w:bookmarkEnd w:id="120"/>
      <w:bookmarkEnd w:id="121"/>
      <w:bookmarkEnd w:id="122"/>
      <w:r>
        <w:rPr>
          <w:rFonts w:hint="eastAsia" w:ascii="楷体_GB2312" w:hAnsi="楷体_GB2312" w:eastAsia="楷体_GB2312" w:cs="楷体_GB2312"/>
          <w:bCs w:val="0"/>
        </w:rPr>
        <w:t>加快现代农业高质量发展</w:t>
      </w:r>
      <w:bookmarkEnd w:id="123"/>
    </w:p>
    <w:p>
      <w:pPr>
        <w:spacing w:line="600" w:lineRule="exact"/>
        <w:ind w:firstLine="643"/>
        <w:contextualSpacing/>
        <w:rPr>
          <w:rFonts w:ascii="仿宋_GB2312" w:hAnsi="仿宋_GB2312" w:eastAsia="仿宋_GB2312" w:cs="仿宋_GB2312"/>
          <w:szCs w:val="32"/>
        </w:rPr>
      </w:pPr>
      <w:r>
        <w:rPr>
          <w:rFonts w:hint="eastAsia" w:ascii="仿宋_GB2312" w:hAnsi="仿宋_GB2312" w:eastAsia="仿宋_GB2312" w:cs="仿宋_GB2312"/>
          <w:b/>
          <w:szCs w:val="32"/>
        </w:rPr>
        <w:t>推进智慧农业发展。</w:t>
      </w:r>
      <w:r>
        <w:rPr>
          <w:rFonts w:hint="eastAsia" w:ascii="仿宋_GB2312" w:hAnsi="仿宋_GB2312" w:eastAsia="仿宋_GB2312" w:cs="仿宋_GB2312"/>
          <w:szCs w:val="32"/>
        </w:rPr>
        <w:t>高标准建设智慧农业试验区，</w:t>
      </w:r>
      <w:r>
        <w:rPr>
          <w:rFonts w:hint="eastAsia" w:ascii="仿宋_GB2312" w:hAnsi="仿宋_GB2312" w:eastAsia="仿宋_GB2312" w:cs="仿宋_GB2312"/>
          <w:szCs w:val="32"/>
          <w:shd w:val="clear" w:color="auto" w:fill="FFFFFF"/>
        </w:rPr>
        <w:t>加快种养业生产经营数字化改造。</w:t>
      </w:r>
      <w:r>
        <w:rPr>
          <w:rFonts w:hint="eastAsia" w:ascii="仿宋_GB2312" w:hAnsi="仿宋_GB2312" w:eastAsia="仿宋_GB2312" w:cs="仿宋_GB2312"/>
          <w:szCs w:val="32"/>
        </w:rPr>
        <w:t>推动构建数字农业、智慧农业大数据体系。加快与中化现代农业（辽宁）有限公司合作，推进智慧农业项目落地。制定完善农业投入品使用、农产品等级划分、产地准出和质量追溯、贮藏运输、包装标识等方面的标准，推进数字应用场景涵盖生产环境、生产过程、加工包装等环节，形成品牌农产品质量控制标准体系。推进数字农业农村建设，</w:t>
      </w:r>
      <w:r>
        <w:rPr>
          <w:rFonts w:hint="eastAsia" w:ascii="仿宋_GB2312" w:hAnsi="仿宋_GB2312" w:eastAsia="仿宋_GB2312" w:cs="仿宋_GB2312"/>
          <w:kern w:val="0"/>
          <w:szCs w:val="32"/>
        </w:rPr>
        <w:t>健全农村基础通信网络，加快农村智慧水利、智能电网、智慧农业等基础设施建设。</w:t>
      </w:r>
    </w:p>
    <w:p>
      <w:pPr>
        <w:spacing w:line="600" w:lineRule="exact"/>
        <w:ind w:firstLine="643"/>
        <w:contextualSpacing/>
        <w:rPr>
          <w:rFonts w:ascii="仿宋_GB2312" w:hAnsi="仿宋_GB2312" w:eastAsia="仿宋_GB2312" w:cs="仿宋_GB2312"/>
          <w:szCs w:val="32"/>
        </w:rPr>
      </w:pPr>
      <w:r>
        <w:rPr>
          <w:rFonts w:hint="eastAsia" w:ascii="仿宋_GB2312" w:hAnsi="仿宋_GB2312" w:eastAsia="仿宋_GB2312" w:cs="仿宋_GB2312"/>
          <w:b/>
          <w:szCs w:val="32"/>
        </w:rPr>
        <w:t>发展功能性农产品。</w:t>
      </w:r>
      <w:r>
        <w:rPr>
          <w:rFonts w:hint="eastAsia" w:ascii="仿宋_GB2312" w:hAnsi="仿宋_GB2312" w:eastAsia="仿宋_GB2312" w:cs="仿宋_GB2312"/>
          <w:szCs w:val="32"/>
        </w:rPr>
        <w:t>以发展富硒农产品为重点，大力推广功能性农产品。重点建设一批有规模、有标准的富硒水稻、富硒小麦、富硒马铃薯、富硒蔬菜等种植类示范基地。鼓励引导经营主体参与富硒农业，打造一批具有影响力的家庭农场、农民合作社、龙头企业。大力发展富硒农产品产地初加工、精深加工，做大做强产业链，提高产品附加值。</w:t>
      </w:r>
    </w:p>
    <w:p>
      <w:pPr>
        <w:pStyle w:val="4"/>
        <w:spacing w:before="0" w:after="0" w:line="600" w:lineRule="exact"/>
        <w:rPr>
          <w:rFonts w:ascii="楷体_GB2312" w:hAnsi="楷体_GB2312" w:eastAsia="楷体_GB2312" w:cs="楷体_GB2312"/>
          <w:bCs w:val="0"/>
        </w:rPr>
      </w:pPr>
      <w:bookmarkStart w:id="124" w:name="_Toc58853095"/>
      <w:bookmarkStart w:id="125" w:name="_Toc50889057"/>
      <w:bookmarkStart w:id="126" w:name="_Toc50887015"/>
      <w:bookmarkStart w:id="127" w:name="_Toc50889151"/>
      <w:bookmarkStart w:id="128" w:name="_Toc47622042"/>
      <w:r>
        <w:rPr>
          <w:rFonts w:hint="eastAsia" w:ascii="楷体_GB2312" w:hAnsi="楷体_GB2312" w:eastAsia="楷体_GB2312" w:cs="楷体_GB2312"/>
          <w:bCs w:val="0"/>
        </w:rPr>
        <w:t>第四节 构建现代农业经营体系</w:t>
      </w:r>
      <w:bookmarkEnd w:id="124"/>
      <w:bookmarkEnd w:id="125"/>
      <w:bookmarkEnd w:id="126"/>
      <w:bookmarkEnd w:id="127"/>
      <w:bookmarkEnd w:id="128"/>
    </w:p>
    <w:p>
      <w:pPr>
        <w:spacing w:line="600" w:lineRule="exact"/>
        <w:ind w:firstLine="643"/>
        <w:jc w:val="left"/>
        <w:rPr>
          <w:rFonts w:ascii="仿宋_GB2312" w:hAnsi="仿宋_GB2312" w:eastAsia="仿宋_GB2312" w:cs="仿宋_GB2312"/>
        </w:rPr>
      </w:pPr>
      <w:r>
        <w:rPr>
          <w:rFonts w:hint="eastAsia" w:ascii="仿宋_GB2312" w:hAnsi="仿宋_GB2312" w:eastAsia="仿宋_GB2312" w:cs="仿宋_GB2312"/>
          <w:b/>
        </w:rPr>
        <w:t>培育新型农业经营主体</w:t>
      </w:r>
      <w:r>
        <w:rPr>
          <w:rFonts w:hint="eastAsia" w:ascii="仿宋_GB2312" w:hAnsi="仿宋_GB2312" w:eastAsia="仿宋_GB2312" w:cs="仿宋_GB2312"/>
        </w:rPr>
        <w:t>。</w:t>
      </w:r>
      <w:r>
        <w:rPr>
          <w:rFonts w:hint="eastAsia" w:ascii="仿宋_GB2312" w:hAnsi="仿宋_GB2312" w:eastAsia="仿宋_GB2312" w:cs="仿宋_GB2312"/>
          <w:szCs w:val="32"/>
        </w:rPr>
        <w:t>提高农民合作社、家庭农场质量，</w:t>
      </w:r>
      <w:r>
        <w:rPr>
          <w:rFonts w:hint="eastAsia" w:ascii="仿宋_GB2312" w:hAnsi="仿宋_GB2312" w:eastAsia="仿宋_GB2312" w:cs="仿宋_GB2312"/>
        </w:rPr>
        <w:t>鼓励农民因地制宜探索不同的专业合作社模式。鼓励农民按照依法自愿有偿原则，向种植大户、家庭农场、农业合作社等新型经营主体流转集中土地，推动农业生产机械化、规模化。</w:t>
      </w:r>
    </w:p>
    <w:p>
      <w:pPr>
        <w:spacing w:line="600" w:lineRule="exact"/>
        <w:ind w:firstLine="643"/>
        <w:jc w:val="left"/>
        <w:rPr>
          <w:rFonts w:ascii="仿宋_GB2312" w:hAnsi="仿宋_GB2312" w:eastAsia="仿宋_GB2312" w:cs="仿宋_GB2312"/>
          <w:szCs w:val="32"/>
        </w:rPr>
      </w:pPr>
      <w:r>
        <w:rPr>
          <w:rFonts w:hint="eastAsia" w:ascii="仿宋_GB2312" w:hAnsi="仿宋_GB2312" w:eastAsia="仿宋_GB2312" w:cs="仿宋_GB2312"/>
          <w:b/>
        </w:rPr>
        <w:t>支持新型经营主体开展规模化经营。</w:t>
      </w:r>
      <w:r>
        <w:rPr>
          <w:rFonts w:hint="eastAsia" w:ascii="仿宋_GB2312" w:hAnsi="仿宋_GB2312" w:eastAsia="仿宋_GB2312" w:cs="仿宋_GB2312"/>
        </w:rPr>
        <w:t>鼓励农业产业化龙头企业和农民合作社开展农产品加工流通和社会化服务，加快发展订单农业。</w:t>
      </w:r>
      <w:r>
        <w:rPr>
          <w:rFonts w:hint="eastAsia" w:ascii="仿宋_GB2312" w:hAnsi="仿宋_GB2312" w:eastAsia="仿宋_GB2312" w:cs="仿宋_GB2312"/>
          <w:szCs w:val="32"/>
        </w:rPr>
        <w:t>深入开展与大型企业集团、科研院所的对接，加大与辽宁省农科院、沈阳农业大学、中化现代农业（辽宁）有限公司的深入合作力度，建立农业优质品牌，增加市场竞争力。</w:t>
      </w:r>
    </w:p>
    <w:p>
      <w:pPr>
        <w:pStyle w:val="6"/>
        <w:spacing w:before="156" w:after="156"/>
        <w:jc w:val="center"/>
        <w:rPr>
          <w:rFonts w:ascii="楷体" w:hAnsi="楷体" w:eastAsia="楷体"/>
          <w:sz w:val="28"/>
        </w:rPr>
      </w:pPr>
      <w:r>
        <w:rPr>
          <w:rFonts w:hint="eastAsia" w:ascii="楷体" w:hAnsi="楷体" w:eastAsia="楷体"/>
          <w:sz w:val="28"/>
        </w:rPr>
        <w:t>专栏4 “十四五”时期调兵山市农业重点工程</w:t>
      </w:r>
    </w:p>
    <w:p>
      <w:pPr>
        <w:pBdr>
          <w:top w:val="single" w:color="auto" w:sz="4" w:space="1"/>
          <w:left w:val="single" w:color="auto" w:sz="4" w:space="4"/>
          <w:bottom w:val="single" w:color="auto" w:sz="4" w:space="1"/>
          <w:right w:val="single" w:color="auto" w:sz="4" w:space="4"/>
        </w:pBdr>
        <w:spacing w:line="360" w:lineRule="auto"/>
        <w:ind w:firstLineChars="0"/>
        <w:contextualSpacing/>
        <w:rPr>
          <w:rFonts w:asciiTheme="minorEastAsia" w:hAnsiTheme="minorEastAsia" w:eastAsiaTheme="minorEastAsia"/>
          <w:sz w:val="24"/>
          <w:szCs w:val="24"/>
        </w:rPr>
      </w:pPr>
      <w:r>
        <w:rPr>
          <w:rFonts w:hint="eastAsia" w:asciiTheme="minorEastAsia" w:hAnsiTheme="minorEastAsia" w:eastAsiaTheme="minorEastAsia"/>
          <w:b/>
          <w:sz w:val="24"/>
          <w:szCs w:val="24"/>
        </w:rPr>
        <w:t>1.种植业结构调整工程。</w:t>
      </w:r>
      <w:r>
        <w:rPr>
          <w:rFonts w:hint="eastAsia" w:asciiTheme="minorEastAsia" w:hAnsiTheme="minorEastAsia" w:eastAsiaTheme="minorEastAsia"/>
          <w:sz w:val="24"/>
          <w:szCs w:val="24"/>
        </w:rPr>
        <w:t>包括马铃薯、裸地菜、蓝莓、树莓种植项目；</w:t>
      </w:r>
      <w:r>
        <w:rPr>
          <w:rFonts w:hint="eastAsia" w:asciiTheme="minorEastAsia" w:hAnsiTheme="minorEastAsia" w:eastAsiaTheme="minorEastAsia"/>
          <w:b/>
          <w:sz w:val="24"/>
          <w:szCs w:val="24"/>
        </w:rPr>
        <w:t>2.农业生产建设工程。</w:t>
      </w:r>
      <w:r>
        <w:rPr>
          <w:rFonts w:hint="eastAsia" w:asciiTheme="minorEastAsia" w:hAnsiTheme="minorEastAsia" w:eastAsiaTheme="minorEastAsia"/>
          <w:sz w:val="24"/>
          <w:szCs w:val="24"/>
        </w:rPr>
        <w:t>包括农业现代产业园项目、有机大米示范基地项目、集中连片设施农业建设项目、水田养蟹项目、肉牛养殖深加工项目、千亩产业园项目等；</w:t>
      </w:r>
      <w:r>
        <w:rPr>
          <w:rFonts w:hint="eastAsia" w:asciiTheme="minorEastAsia" w:hAnsiTheme="minorEastAsia" w:eastAsiaTheme="minorEastAsia"/>
          <w:b/>
          <w:sz w:val="24"/>
          <w:szCs w:val="24"/>
        </w:rPr>
        <w:t>3.农产品加工产业提升工程。</w:t>
      </w:r>
      <w:r>
        <w:rPr>
          <w:rFonts w:hint="eastAsia" w:asciiTheme="minorEastAsia" w:hAnsiTheme="minorEastAsia" w:eastAsiaTheme="minorEastAsia"/>
          <w:sz w:val="24"/>
          <w:szCs w:val="24"/>
        </w:rPr>
        <w:t>包括马铃薯全粉加工、小王子休闲食品项目、宏大肉禽鸡肉深加工项目、蓝莓树莓深加工项目等；</w:t>
      </w:r>
      <w:r>
        <w:rPr>
          <w:rFonts w:hint="eastAsia" w:asciiTheme="minorEastAsia" w:hAnsiTheme="minorEastAsia" w:eastAsiaTheme="minorEastAsia"/>
          <w:b/>
          <w:sz w:val="24"/>
          <w:szCs w:val="24"/>
        </w:rPr>
        <w:t>4.农业基础设施建设工程。</w:t>
      </w:r>
      <w:r>
        <w:rPr>
          <w:rFonts w:hint="eastAsia" w:asciiTheme="minorEastAsia" w:hAnsiTheme="minorEastAsia" w:eastAsiaTheme="minorEastAsia"/>
          <w:sz w:val="24"/>
          <w:szCs w:val="24"/>
        </w:rPr>
        <w:t>包括水肥滴灌一体化建设、冷链物流仓储项目；</w:t>
      </w:r>
      <w:r>
        <w:rPr>
          <w:rFonts w:hint="eastAsia" w:asciiTheme="minorEastAsia" w:hAnsiTheme="minorEastAsia" w:eastAsiaTheme="minorEastAsia"/>
          <w:b/>
          <w:sz w:val="24"/>
          <w:szCs w:val="24"/>
        </w:rPr>
        <w:t>5.美丽乡村建设工程。</w:t>
      </w:r>
      <w:r>
        <w:rPr>
          <w:rFonts w:hint="eastAsia" w:asciiTheme="minorEastAsia" w:hAnsiTheme="minorEastAsia" w:eastAsiaTheme="minorEastAsia"/>
          <w:sz w:val="24"/>
          <w:szCs w:val="24"/>
        </w:rPr>
        <w:t>包括农村人居环境整治全域推进工程项目、乡村振兴产业项目、返乡入乡创业园项目、城中村搬迁改造项目等。</w:t>
      </w:r>
    </w:p>
    <w:p>
      <w:pPr>
        <w:widowControl/>
        <w:ind w:firstLine="0" w:firstLineChars="0"/>
        <w:jc w:val="left"/>
        <w:rPr>
          <w:sz w:val="18"/>
          <w:szCs w:val="18"/>
        </w:rPr>
      </w:pPr>
      <w:r>
        <w:br w:type="page"/>
      </w:r>
    </w:p>
    <w:p>
      <w:pPr>
        <w:pStyle w:val="3"/>
        <w:spacing w:before="0" w:afterLines="10" w:line="600" w:lineRule="exact"/>
        <w:rPr>
          <w:sz w:val="36"/>
        </w:rPr>
      </w:pPr>
      <w:bookmarkStart w:id="129" w:name="_Toc50889058"/>
      <w:bookmarkStart w:id="130" w:name="_Toc50889152"/>
      <w:bookmarkStart w:id="131" w:name="_Toc58853096"/>
      <w:bookmarkStart w:id="132" w:name="_Toc50887016"/>
      <w:bookmarkStart w:id="133" w:name="_Toc47622044"/>
      <w:r>
        <w:rPr>
          <w:rFonts w:hint="eastAsia" w:ascii="黑体" w:hAnsi="黑体" w:cs="黑体"/>
          <w:b w:val="0"/>
          <w:bCs w:val="0"/>
          <w:sz w:val="32"/>
          <w:szCs w:val="32"/>
        </w:rPr>
        <w:t>第六章  打造“四大基地”，构建现代工业体系</w:t>
      </w:r>
      <w:bookmarkEnd w:id="129"/>
      <w:bookmarkEnd w:id="130"/>
      <w:bookmarkEnd w:id="131"/>
      <w:bookmarkEnd w:id="132"/>
      <w:bookmarkEnd w:id="133"/>
      <w:r>
        <w:rPr>
          <w:sz w:val="36"/>
        </w:rPr>
        <w:t xml:space="preserve"> </w:t>
      </w:r>
    </w:p>
    <w:p>
      <w:pPr>
        <w:spacing w:line="600" w:lineRule="exact"/>
        <w:ind w:firstLine="640"/>
        <w:jc w:val="left"/>
        <w:rPr>
          <w:rFonts w:ascii="仿宋" w:hAnsi="仿宋"/>
          <w:bCs/>
          <w:szCs w:val="28"/>
        </w:rPr>
      </w:pPr>
      <w:r>
        <w:rPr>
          <w:rFonts w:hint="eastAsia" w:ascii="仿宋_GB2312" w:hAnsi="仿宋_GB2312" w:eastAsia="仿宋_GB2312" w:cs="仿宋_GB2312"/>
          <w:lang w:val="zh-CN"/>
        </w:rPr>
        <w:t>以打造“数字辽宁、智造强省”为战略引领，以“数字牵引、绿色转型”为抓手，</w:t>
      </w:r>
      <w:r>
        <w:rPr>
          <w:rFonts w:hint="eastAsia" w:ascii="仿宋_GB2312" w:hAnsi="仿宋_GB2312" w:eastAsia="仿宋_GB2312" w:cs="仿宋_GB2312"/>
        </w:rPr>
        <w:t>改造升级“老字号”、深度开发“原字号”、培育壮大“新字号”。</w:t>
      </w:r>
      <w:r>
        <w:rPr>
          <w:rFonts w:hint="eastAsia" w:ascii="仿宋_GB2312" w:hAnsi="仿宋_GB2312" w:eastAsia="仿宋_GB2312" w:cs="仿宋_GB2312"/>
          <w:bCs/>
          <w:szCs w:val="28"/>
        </w:rPr>
        <w:t>加快传统产业改造升级、培育接续替代产业和新兴产业，围绕</w:t>
      </w:r>
      <w:r>
        <w:rPr>
          <w:rFonts w:hint="eastAsia" w:ascii="仿宋_GB2312" w:hAnsi="仿宋_GB2312" w:eastAsia="仿宋_GB2312" w:cs="仿宋_GB2312"/>
          <w:szCs w:val="32"/>
        </w:rPr>
        <w:t>铁煤集团非煤产业布局产业链，</w:t>
      </w:r>
      <w:r>
        <w:rPr>
          <w:rFonts w:hint="eastAsia" w:ascii="仿宋_GB2312" w:hAnsi="仿宋_GB2312" w:eastAsia="仿宋_GB2312" w:cs="仿宋_GB2312"/>
          <w:bCs/>
          <w:szCs w:val="28"/>
        </w:rPr>
        <w:t>为传统产业赋予新动能</w:t>
      </w:r>
      <w:r>
        <w:rPr>
          <w:rFonts w:hint="eastAsia" w:ascii="仿宋_GB2312" w:hAnsi="仿宋_GB2312" w:eastAsia="仿宋_GB2312" w:cs="仿宋_GB2312"/>
          <w:szCs w:val="32"/>
        </w:rPr>
        <w:t>，</w:t>
      </w:r>
      <w:r>
        <w:rPr>
          <w:rFonts w:hint="eastAsia" w:ascii="仿宋_GB2312" w:hAnsi="仿宋_GB2312" w:eastAsia="仿宋_GB2312" w:cs="仿宋_GB2312"/>
          <w:bCs/>
          <w:szCs w:val="28"/>
        </w:rPr>
        <w:t>打造新能源新材料、再生资源、智能绿色制造、医疗用品产业四大基地，着力构建现代化工业体系，为资源型城市创新转型奠定基础。</w:t>
      </w:r>
    </w:p>
    <w:p>
      <w:pPr>
        <w:pStyle w:val="4"/>
        <w:numPr>
          <w:ilvl w:val="0"/>
          <w:numId w:val="1"/>
        </w:numPr>
        <w:spacing w:before="0" w:after="0" w:line="600" w:lineRule="exact"/>
        <w:rPr>
          <w:rFonts w:ascii="楷体_GB2312" w:hAnsi="楷体_GB2312" w:eastAsia="楷体_GB2312" w:cs="楷体_GB2312"/>
          <w:bCs w:val="0"/>
        </w:rPr>
      </w:pPr>
      <w:bookmarkStart w:id="134" w:name="_Toc58853097"/>
      <w:r>
        <w:rPr>
          <w:rFonts w:hint="eastAsia" w:ascii="楷体_GB2312" w:hAnsi="楷体_GB2312" w:eastAsia="楷体_GB2312" w:cs="楷体_GB2312"/>
          <w:bCs w:val="0"/>
        </w:rPr>
        <w:t>培育壮大“新字号”</w:t>
      </w:r>
      <w:bookmarkEnd w:id="134"/>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打造新能源新材料基地。</w:t>
      </w:r>
      <w:r>
        <w:rPr>
          <w:rFonts w:hint="eastAsia" w:ascii="仿宋_GB2312" w:hAnsi="仿宋_GB2312" w:eastAsia="仿宋_GB2312" w:cs="仿宋_GB2312"/>
          <w:szCs w:val="32"/>
        </w:rPr>
        <w:t>发展风能、光能、生物质能为主的新能源产业，支持燃料乙醇等企业做大做强，引进三峡新能源风机改造等项目。以碳纤维、石墨烯、碳碳复合、碳化硼等新材料项目为引进方向，加快金玛硼业、烯旺石墨、道合巨利等项目引进建设，打造新能源新材料产业基地。到2025年，实现工业产值35亿元。</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打造智能绿色制造基地。</w:t>
      </w:r>
      <w:r>
        <w:rPr>
          <w:rFonts w:hint="eastAsia" w:ascii="仿宋_GB2312" w:hAnsi="仿宋_GB2312" w:eastAsia="仿宋_GB2312" w:cs="仿宋_GB2312"/>
          <w:szCs w:val="32"/>
        </w:rPr>
        <w:t>以煤机装备制造为产业发展方向，扶持通用重机、威跃矿山等成长型企业做大做强，推进鑫丰矿业智能安拆设备研发和总装车间项目建设，引进上市公司超讯通讯等项目，整合产业的研发优势和技术储备，推动互联网、大数据、人工智能和制造业深度融合，打造智能绿色制造产业基地。到2025年，实现工业产值20亿元。</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打造再生资源产业基地</w:t>
      </w:r>
      <w:r>
        <w:rPr>
          <w:rFonts w:hint="eastAsia" w:ascii="仿宋_GB2312" w:hAnsi="仿宋_GB2312" w:eastAsia="仿宋_GB2312" w:cs="仿宋_GB2312"/>
          <w:szCs w:val="32"/>
        </w:rPr>
        <w:t>。以废旧润滑油加工、生物柴油加工为产业发展方向，依托再生资源产业园区，加快嘉冠石化、汽众润滑油等企业发展，引进百万吨生物柴油项目，构建循环产业链条，打造再生资源产业基地。到2025年，实现工业产值15亿元。</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打造医疗用品产业基地。</w:t>
      </w:r>
      <w:r>
        <w:rPr>
          <w:rFonts w:hint="eastAsia" w:ascii="仿宋_GB2312" w:hAnsi="仿宋_GB2312" w:eastAsia="仿宋_GB2312" w:cs="仿宋_GB2312"/>
          <w:szCs w:val="32"/>
        </w:rPr>
        <w:t>以医疗设备制造、医疗用品生产为产业发展方向，支持卡斯特金属医疗器械CT核磁生产项目发展，加快推进辽宁尚威医用手套项目建设，依托辽宁尚威、麦琪医疗等龙头企业发展基础，培育壮大医疗健康产业，打造医疗用品产业。到2025年，实现工业产值35亿元。</w:t>
      </w:r>
    </w:p>
    <w:p>
      <w:pPr>
        <w:pStyle w:val="6"/>
        <w:spacing w:before="156" w:after="156"/>
        <w:jc w:val="center"/>
        <w:rPr>
          <w:rFonts w:ascii="楷体" w:hAnsi="楷体" w:eastAsia="楷体"/>
          <w:sz w:val="28"/>
        </w:rPr>
      </w:pPr>
      <w:r>
        <w:rPr>
          <w:rFonts w:hint="eastAsia" w:ascii="楷体" w:hAnsi="楷体" w:eastAsia="楷体"/>
          <w:sz w:val="28"/>
        </w:rPr>
        <w:t>专栏5 “十四五”时期调兵山市“四大基地”建设工程</w:t>
      </w:r>
    </w:p>
    <w:tbl>
      <w:tblPr>
        <w:tblStyle w:val="28"/>
        <w:tblpPr w:leftFromText="180" w:rightFromText="180" w:vertAnchor="text" w:horzAnchor="margin" w:tblpY="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Borders>
              <w:top w:val="single" w:color="auto" w:sz="4" w:space="0"/>
              <w:left w:val="single" w:color="auto" w:sz="4" w:space="0"/>
              <w:bottom w:val="single" w:color="auto" w:sz="4" w:space="0"/>
              <w:right w:val="single" w:color="auto" w:sz="4" w:space="0"/>
            </w:tcBorders>
          </w:tcPr>
          <w:p>
            <w:pPr>
              <w:spacing w:line="360" w:lineRule="auto"/>
              <w:ind w:firstLine="482"/>
              <w:rPr>
                <w:rFonts w:asciiTheme="minorEastAsia" w:hAnsiTheme="minorEastAsia" w:eastAsiaTheme="minorEastAsia"/>
                <w:sz w:val="24"/>
                <w:szCs w:val="24"/>
              </w:rPr>
            </w:pPr>
            <w:r>
              <w:rPr>
                <w:rFonts w:hint="eastAsia" w:asciiTheme="minorEastAsia" w:hAnsiTheme="minorEastAsia" w:eastAsiaTheme="minorEastAsia"/>
                <w:b/>
                <w:sz w:val="24"/>
                <w:szCs w:val="24"/>
              </w:rPr>
              <w:t>1.新能源新材料基地。</w:t>
            </w:r>
            <w:r>
              <w:rPr>
                <w:rFonts w:hint="eastAsia" w:asciiTheme="minorEastAsia" w:hAnsiTheme="minorEastAsia" w:eastAsiaTheme="minorEastAsia"/>
                <w:sz w:val="24"/>
                <w:szCs w:val="24"/>
              </w:rPr>
              <w:t>（1）新能源。三峡风电技改工程、国电和风风场技术改造、20MW光伏发电项目、风力发电场项目（2）新材料。碳化硼、高功率石墨电极等项目；</w:t>
            </w:r>
            <w:r>
              <w:rPr>
                <w:rFonts w:hint="eastAsia" w:asciiTheme="minorEastAsia" w:hAnsiTheme="minorEastAsia" w:eastAsiaTheme="minorEastAsia"/>
                <w:b/>
                <w:sz w:val="24"/>
                <w:szCs w:val="24"/>
              </w:rPr>
              <w:t>2.智能绿色制造基地。</w:t>
            </w:r>
            <w:r>
              <w:rPr>
                <w:rFonts w:hint="eastAsia" w:asciiTheme="minorEastAsia" w:hAnsiTheme="minorEastAsia" w:eastAsiaTheme="minorEastAsia"/>
                <w:sz w:val="24"/>
                <w:szCs w:val="24"/>
              </w:rPr>
              <w:t>（1）服务型制造服务业项目。通用煤机煤矿盾构机租赁服务扩能项目、鑫丰矿业采煤设施安拆服务扩能项目、威跃公司采煤设施安拆服务扩能项目。（2）智能车间项目。国投“5G+工业互联网”车间项目，汽众润滑油智能化生产车间项目、卡斯特智能生产车间项目、鑫丰矿业智能生产车间项目、通用重机智能生产车间项目；</w:t>
            </w:r>
            <w:r>
              <w:rPr>
                <w:rFonts w:hint="eastAsia" w:asciiTheme="minorEastAsia" w:hAnsiTheme="minorEastAsia" w:eastAsiaTheme="minorEastAsia"/>
                <w:b/>
                <w:sz w:val="24"/>
                <w:szCs w:val="24"/>
              </w:rPr>
              <w:t>3.再生资源基地。</w:t>
            </w:r>
            <w:r>
              <w:rPr>
                <w:rFonts w:hint="eastAsia" w:asciiTheme="minorEastAsia" w:hAnsiTheme="minorEastAsia" w:eastAsiaTheme="minorEastAsia"/>
                <w:sz w:val="24"/>
                <w:szCs w:val="24"/>
              </w:rPr>
              <w:t>润滑油、生物柴油加工项目：中国华贸集团对嘉冠石化改造提升项目、汽众润滑油扩大产能项目；</w:t>
            </w:r>
            <w:r>
              <w:rPr>
                <w:rFonts w:hint="eastAsia" w:asciiTheme="minorEastAsia" w:hAnsiTheme="minorEastAsia" w:eastAsiaTheme="minorEastAsia"/>
                <w:b/>
                <w:sz w:val="24"/>
                <w:szCs w:val="24"/>
              </w:rPr>
              <w:t>4.医疗用品产业基地。</w:t>
            </w:r>
            <w:r>
              <w:rPr>
                <w:rFonts w:hint="eastAsia" w:asciiTheme="minorEastAsia" w:hAnsiTheme="minorEastAsia" w:eastAsiaTheme="minorEastAsia"/>
                <w:sz w:val="24"/>
                <w:szCs w:val="24"/>
              </w:rPr>
              <w:t>卡斯特金属医疗器械CT核磁项目、医用手套项目。</w:t>
            </w:r>
          </w:p>
        </w:tc>
      </w:tr>
    </w:tbl>
    <w:p>
      <w:pPr>
        <w:pStyle w:val="4"/>
        <w:numPr>
          <w:ilvl w:val="0"/>
          <w:numId w:val="1"/>
        </w:numPr>
        <w:spacing w:before="0" w:after="0" w:line="600" w:lineRule="exact"/>
        <w:rPr>
          <w:rFonts w:ascii="楷体" w:hAnsi="楷体" w:eastAsia="楷体" w:cs="Times New Roman"/>
          <w:bCs w:val="0"/>
        </w:rPr>
      </w:pPr>
      <w:bookmarkStart w:id="135" w:name="_Toc58853098"/>
      <w:r>
        <w:rPr>
          <w:rFonts w:hint="eastAsia" w:ascii="楷体_GB2312" w:hAnsi="楷体_GB2312" w:eastAsia="楷体_GB2312" w:cs="楷体_GB2312"/>
          <w:bCs w:val="0"/>
        </w:rPr>
        <w:t>改造升级“老字号”</w:t>
      </w:r>
      <w:bookmarkEnd w:id="135"/>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bCs/>
          <w:szCs w:val="28"/>
        </w:rPr>
        <w:t>推动传统产业转型升级。</w:t>
      </w:r>
      <w:r>
        <w:rPr>
          <w:rFonts w:hint="eastAsia" w:ascii="仿宋_GB2312" w:hAnsi="仿宋_GB2312" w:eastAsia="仿宋_GB2312" w:cs="仿宋_GB2312"/>
          <w:szCs w:val="28"/>
        </w:rPr>
        <w:t>突出自主创新，增强升级动力，运用高新技术和先进适用技术改造传统产业，推动产业链条向关键环节和高附加值环节延伸，提升产业技术水平和企业竞争力。鼓励企业建设标准化生产车间，建设全流程自动控制系统，推广机器人在生产核心环节的应用，提高企业生产效率。</w:t>
      </w:r>
    </w:p>
    <w:p>
      <w:pPr>
        <w:spacing w:line="600" w:lineRule="exact"/>
        <w:ind w:firstLine="643"/>
        <w:rPr>
          <w:rFonts w:ascii="仿宋_GB2312" w:hAnsi="仿宋_GB2312" w:eastAsia="仿宋_GB2312" w:cs="仿宋_GB2312"/>
          <w:kern w:val="0"/>
          <w:szCs w:val="32"/>
        </w:rPr>
      </w:pPr>
      <w:r>
        <w:rPr>
          <w:rFonts w:hint="eastAsia" w:ascii="仿宋_GB2312" w:hAnsi="仿宋_GB2312" w:eastAsia="仿宋_GB2312" w:cs="仿宋_GB2312"/>
          <w:b/>
          <w:kern w:val="0"/>
          <w:szCs w:val="32"/>
        </w:rPr>
        <w:t>推进食品加工业升级。</w:t>
      </w:r>
      <w:r>
        <w:rPr>
          <w:rFonts w:hint="eastAsia" w:ascii="仿宋_GB2312" w:hAnsi="仿宋_GB2312" w:eastAsia="仿宋_GB2312" w:cs="仿宋_GB2312"/>
          <w:kern w:val="0"/>
          <w:szCs w:val="32"/>
        </w:rPr>
        <w:t>以原产地大米、水果等具有特色的农产品资源为主，鼓励发展畜产品深加工，突出打造肉禽、薯类与膨胀食品等农产品加工优势产品，加快从低附加值的普通食品制造向高附加值的中高端大健康食品制造转型升级，打造食品加工聚集区。</w:t>
      </w:r>
    </w:p>
    <w:p>
      <w:pPr>
        <w:pStyle w:val="4"/>
        <w:numPr>
          <w:ilvl w:val="0"/>
          <w:numId w:val="1"/>
        </w:numPr>
        <w:spacing w:before="0" w:after="0" w:line="600" w:lineRule="exact"/>
        <w:rPr>
          <w:rFonts w:ascii="楷体_GB2312" w:hAnsi="楷体_GB2312" w:eastAsia="楷体_GB2312" w:cs="楷体_GB2312"/>
          <w:bCs w:val="0"/>
        </w:rPr>
      </w:pPr>
      <w:bookmarkStart w:id="136" w:name="_Toc58853099"/>
      <w:r>
        <w:rPr>
          <w:rFonts w:hint="eastAsia" w:ascii="楷体_GB2312" w:hAnsi="楷体_GB2312" w:eastAsia="楷体_GB2312" w:cs="楷体_GB2312"/>
          <w:bCs w:val="0"/>
        </w:rPr>
        <w:t>深度开发“原字号”</w:t>
      </w:r>
      <w:bookmarkEnd w:id="136"/>
    </w:p>
    <w:p>
      <w:pPr>
        <w:spacing w:line="600" w:lineRule="exact"/>
        <w:ind w:firstLine="643"/>
        <w:rPr>
          <w:rFonts w:ascii="仿宋_GB2312" w:hAnsi="仿宋_GB2312" w:eastAsia="仿宋_GB2312" w:cs="仿宋_GB2312"/>
          <w:bCs/>
          <w:szCs w:val="32"/>
        </w:rPr>
      </w:pPr>
      <w:r>
        <w:rPr>
          <w:rFonts w:hint="eastAsia" w:ascii="仿宋_GB2312" w:hAnsi="仿宋_GB2312" w:eastAsia="仿宋_GB2312" w:cs="仿宋_GB2312"/>
          <w:b/>
          <w:bCs/>
          <w:szCs w:val="32"/>
        </w:rPr>
        <w:t>支持铁法能源做强总部经济。</w:t>
      </w:r>
      <w:r>
        <w:rPr>
          <w:rFonts w:hint="eastAsia" w:ascii="仿宋_GB2312" w:hAnsi="仿宋_GB2312" w:eastAsia="仿宋_GB2312" w:cs="仿宋_GB2312"/>
          <w:bCs/>
          <w:szCs w:val="32"/>
        </w:rPr>
        <w:t>进一步支持铁法能源总部经济在调兵山做大做强，支持做强煤炭主业、发展煤层气产业、拓展建筑、智能制造等产业，优化结构提高能效，推动产业转型，推动装备制造服务化发展，延伸产业链条，深挖增值空间。</w:t>
      </w:r>
    </w:p>
    <w:p>
      <w:pPr>
        <w:spacing w:line="600" w:lineRule="exact"/>
        <w:ind w:firstLine="643"/>
        <w:rPr>
          <w:rFonts w:ascii="仿宋_GB2312" w:hAnsi="仿宋_GB2312" w:eastAsia="仿宋_GB2312" w:cs="仿宋_GB2312"/>
          <w:kern w:val="0"/>
          <w:szCs w:val="32"/>
        </w:rPr>
      </w:pPr>
      <w:r>
        <w:rPr>
          <w:rFonts w:hint="eastAsia" w:ascii="仿宋_GB2312" w:hAnsi="仿宋_GB2312" w:eastAsia="仿宋_GB2312" w:cs="仿宋_GB2312"/>
          <w:b/>
          <w:bCs/>
          <w:szCs w:val="32"/>
        </w:rPr>
        <w:t>深化地企合作。</w:t>
      </w:r>
      <w:r>
        <w:rPr>
          <w:rFonts w:hint="eastAsia" w:ascii="仿宋_GB2312" w:hAnsi="仿宋_GB2312" w:eastAsia="仿宋_GB2312" w:cs="仿宋_GB2312"/>
          <w:bCs/>
          <w:szCs w:val="32"/>
        </w:rPr>
        <w:t>实施一批服务于铁法能源的强链延链、建链补链重点项目。</w:t>
      </w:r>
      <w:r>
        <w:rPr>
          <w:rFonts w:hint="eastAsia" w:ascii="仿宋_GB2312" w:hAnsi="仿宋_GB2312" w:eastAsia="仿宋_GB2312" w:cs="仿宋_GB2312"/>
          <w:szCs w:val="32"/>
        </w:rPr>
        <w:t>引进一批产业链上“专精特新”中小微企业，补齐补强产业链，形成联系紧密、协同铁法能源发展的企业集群。大力发展以新能源新材料、特色智能装备制造为主要内容的高新技术产业，到2025年，高新技术企业达到20户。</w:t>
      </w:r>
    </w:p>
    <w:p>
      <w:pPr>
        <w:spacing w:line="600" w:lineRule="exact"/>
        <w:ind w:firstLine="643"/>
        <w:rPr>
          <w:rFonts w:ascii="仿宋_GB2312" w:hAnsi="仿宋_GB2312" w:eastAsia="仿宋_GB2312" w:cs="仿宋_GB2312"/>
          <w:szCs w:val="32"/>
        </w:rPr>
      </w:pPr>
      <w:bookmarkStart w:id="137" w:name="_Toc47622047"/>
      <w:bookmarkStart w:id="138" w:name="_Toc34904292"/>
      <w:bookmarkStart w:id="139" w:name="_Toc31134040"/>
      <w:r>
        <w:rPr>
          <w:rFonts w:hint="eastAsia" w:ascii="仿宋_GB2312" w:hAnsi="仿宋_GB2312" w:eastAsia="仿宋_GB2312" w:cs="仿宋_GB2312"/>
          <w:b/>
        </w:rPr>
        <w:t>开发产业服务平台。</w:t>
      </w:r>
      <w:r>
        <w:rPr>
          <w:rFonts w:hint="eastAsia" w:ascii="仿宋_GB2312" w:hAnsi="仿宋_GB2312" w:eastAsia="仿宋_GB2312" w:cs="仿宋_GB2312"/>
          <w:szCs w:val="32"/>
        </w:rPr>
        <w:t>利用现有企业技术中心、工程技术研究中心、重点实验室、院士工作站、专家工作站等打造公共服务体系，共建共享咨询中介平台、科学仪器设备共享平台、科技成果转化交易平台、金融综合服务平台、公共资源交易平台、人才服务平台。</w:t>
      </w:r>
    </w:p>
    <w:p>
      <w:pPr>
        <w:pStyle w:val="4"/>
        <w:numPr>
          <w:ilvl w:val="0"/>
          <w:numId w:val="1"/>
        </w:numPr>
        <w:spacing w:before="0" w:after="0" w:line="600" w:lineRule="exact"/>
        <w:rPr>
          <w:rFonts w:ascii="楷体_GB2312" w:hAnsi="楷体_GB2312" w:eastAsia="楷体_GB2312" w:cs="楷体_GB2312"/>
          <w:bCs w:val="0"/>
        </w:rPr>
      </w:pPr>
      <w:bookmarkStart w:id="140" w:name="_Toc50889155"/>
      <w:bookmarkStart w:id="141" w:name="_Toc58853100"/>
      <w:bookmarkStart w:id="142" w:name="_Toc50887019"/>
      <w:bookmarkStart w:id="143" w:name="_Toc50889061"/>
      <w:r>
        <w:rPr>
          <w:rFonts w:hint="eastAsia" w:ascii="楷体_GB2312" w:hAnsi="楷体_GB2312" w:eastAsia="楷体_GB2312" w:cs="楷体_GB2312"/>
          <w:bCs w:val="0"/>
        </w:rPr>
        <w:t>推动开发区高质量发展</w:t>
      </w:r>
      <w:bookmarkEnd w:id="137"/>
      <w:bookmarkEnd w:id="140"/>
      <w:bookmarkEnd w:id="141"/>
      <w:bookmarkEnd w:id="142"/>
      <w:bookmarkEnd w:id="143"/>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rPr>
        <w:t>优化开发区发展布局。</w:t>
      </w:r>
      <w:r>
        <w:rPr>
          <w:rFonts w:hint="eastAsia" w:ascii="仿宋_GB2312" w:hAnsi="仿宋_GB2312" w:eastAsia="仿宋_GB2312" w:cs="仿宋_GB2312"/>
          <w:szCs w:val="32"/>
        </w:rPr>
        <w:t>合理布局内部产业聚集区，明确园区边界、留足发展空间。加快经济开发区扩容升级步伐。以6.08平方公里实际建成区为基础，规划新增工业用地4.66平方公里，总计达到10.74平方公里。</w:t>
      </w:r>
      <w:r>
        <w:rPr>
          <w:rFonts w:hint="eastAsia" w:ascii="仿宋_GB2312" w:hAnsi="仿宋_GB2312" w:eastAsia="仿宋_GB2312" w:cs="仿宋_GB2312"/>
          <w:b/>
          <w:bCs/>
          <w:szCs w:val="32"/>
        </w:rPr>
        <w:t>北工业园区</w:t>
      </w:r>
      <w:r>
        <w:rPr>
          <w:rFonts w:hint="eastAsia" w:ascii="仿宋_GB2312" w:hAnsi="仿宋_GB2312" w:eastAsia="仿宋_GB2312" w:cs="仿宋_GB2312"/>
          <w:szCs w:val="32"/>
        </w:rPr>
        <w:t>东侧规划新增2.32平方公里，作为新能源新材料项目发展载体。</w:t>
      </w:r>
      <w:r>
        <w:rPr>
          <w:rFonts w:hint="eastAsia" w:ascii="仿宋_GB2312" w:hAnsi="仿宋_GB2312" w:eastAsia="仿宋_GB2312" w:cs="仿宋_GB2312"/>
          <w:b/>
          <w:bCs/>
          <w:szCs w:val="32"/>
        </w:rPr>
        <w:t>南开发区</w:t>
      </w:r>
      <w:r>
        <w:rPr>
          <w:rFonts w:hint="eastAsia" w:ascii="仿宋_GB2312" w:hAnsi="仿宋_GB2312" w:eastAsia="仿宋_GB2312" w:cs="仿宋_GB2312"/>
          <w:szCs w:val="32"/>
        </w:rPr>
        <w:t>规划新增2.34平方公里，其中再生资源产业园内四个地块0.92平方公里，尚威医疗项目二期及周边1.42平方公里。</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bCs/>
          <w:szCs w:val="32"/>
        </w:rPr>
        <w:t>盘活园区闲置资产。</w:t>
      </w:r>
      <w:r>
        <w:rPr>
          <w:rFonts w:hint="eastAsia" w:ascii="仿宋_GB2312" w:hAnsi="仿宋_GB2312" w:eastAsia="仿宋_GB2312" w:cs="仿宋_GB2312"/>
          <w:szCs w:val="32"/>
        </w:rPr>
        <w:t>推进盘活存量企业专项工作，综合利用铁能公司闲置资源，面向科技含量高、附加值高、符合产业发展方向的项目开展二次招商，加大对盘活项目的政策支持和资金支持，实现腾笼换鸟，提档升级。通过出租出售、合资合作等方式盘活停产企业和停建项目，重点推介冠通煤机、惠都建工、益德包装、明辉彩板等基础设施较为完善的闲置厂区盘活，力争到2025年，经济开发区土地、厂房、设备等资源利用水平进一步提高，闲置率降低到5%以下。</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建设智慧园区。</w:t>
      </w:r>
      <w:r>
        <w:rPr>
          <w:rFonts w:hint="eastAsia" w:ascii="仿宋_GB2312" w:hAnsi="仿宋_GB2312" w:eastAsia="仿宋_GB2312" w:cs="仿宋_GB2312"/>
          <w:szCs w:val="32"/>
        </w:rPr>
        <w:t>强化与三大网络运行商的合作，共同开展“5G+智慧园区”建设，加快工业互联网等新技术、新产品在工业企业中的应用，支持燃料乙醇、煤矸石发电等企业加快智慧工厂建设，支持汽众润滑油建设智能化生产线，提高信息化管控水平。探索智慧园区服务平台体系建设，建设连通园区内各部门、各企业间的应用服务平台。</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bCs/>
          <w:szCs w:val="32"/>
        </w:rPr>
        <w:t>推进开发区基础设施建设。</w:t>
      </w:r>
      <w:r>
        <w:rPr>
          <w:rFonts w:hint="eastAsia" w:ascii="仿宋_GB2312" w:hAnsi="仿宋_GB2312" w:eastAsia="仿宋_GB2312" w:cs="仿宋_GB2312"/>
          <w:szCs w:val="32"/>
        </w:rPr>
        <w:t>高标准谋划经济开发区重大基础设施建设，重点实施七大基础设施建设工程，建成开发区路网、供电、供水、供暖、供气等配套设施全覆盖。实施南北工业园区和医疗器械产业园区道路工程。</w:t>
      </w:r>
    </w:p>
    <w:p>
      <w:pPr>
        <w:pStyle w:val="6"/>
        <w:spacing w:before="156" w:after="156"/>
        <w:jc w:val="center"/>
        <w:rPr>
          <w:rFonts w:ascii="楷体" w:hAnsi="楷体" w:eastAsia="楷体"/>
          <w:sz w:val="28"/>
        </w:rPr>
      </w:pPr>
      <w:r>
        <w:rPr>
          <w:rFonts w:hint="eastAsia" w:ascii="楷体" w:hAnsi="楷体" w:eastAsia="楷体"/>
          <w:sz w:val="28"/>
        </w:rPr>
        <w:t>专栏6</w:t>
      </w:r>
      <w:r>
        <w:rPr>
          <w:rFonts w:ascii="楷体" w:hAnsi="楷体" w:eastAsia="楷体"/>
          <w:sz w:val="28"/>
        </w:rPr>
        <w:t xml:space="preserve"> </w:t>
      </w:r>
      <w:r>
        <w:rPr>
          <w:rFonts w:hint="eastAsia" w:ascii="楷体" w:hAnsi="楷体" w:eastAsia="楷体"/>
          <w:sz w:val="28"/>
        </w:rPr>
        <w:t>“十四五”期间开发区基础设施及主要道路建设工程</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spacing w:line="360" w:lineRule="auto"/>
              <w:ind w:firstLine="482"/>
              <w:rPr>
                <w:rFonts w:asciiTheme="minorEastAsia" w:hAnsiTheme="minorEastAsia" w:eastAsiaTheme="minorEastAsia"/>
                <w:sz w:val="24"/>
                <w:szCs w:val="24"/>
              </w:rPr>
            </w:pPr>
            <w:r>
              <w:rPr>
                <w:rFonts w:hint="eastAsia" w:asciiTheme="minorEastAsia" w:hAnsiTheme="minorEastAsia" w:eastAsiaTheme="minorEastAsia"/>
                <w:b/>
                <w:sz w:val="24"/>
                <w:szCs w:val="24"/>
              </w:rPr>
              <w:t>开发区基础设施配套及提升工程。</w:t>
            </w:r>
            <w:r>
              <w:rPr>
                <w:rFonts w:hint="eastAsia" w:asciiTheme="minorEastAsia" w:hAnsiTheme="minorEastAsia" w:eastAsiaTheme="minorEastAsia"/>
                <w:sz w:val="24"/>
                <w:szCs w:val="24"/>
              </w:rPr>
              <w:t>一是</w:t>
            </w:r>
            <w:r>
              <w:rPr>
                <w:rFonts w:asciiTheme="minorEastAsia" w:hAnsiTheme="minorEastAsia" w:eastAsiaTheme="minorEastAsia"/>
                <w:sz w:val="24"/>
                <w:szCs w:val="24"/>
              </w:rPr>
              <w:t>调兵山再生资源产业园区基础设施配套</w:t>
            </w:r>
            <w:r>
              <w:rPr>
                <w:rFonts w:hint="eastAsia" w:asciiTheme="minorEastAsia" w:hAnsiTheme="minorEastAsia" w:eastAsiaTheme="minorEastAsia"/>
                <w:sz w:val="24"/>
                <w:szCs w:val="24"/>
              </w:rPr>
              <w:t>工程；二是北工业园区续建基础设施配套工程；三是南园区供暖配套工程；四是调兵山市再生产业园区污水处理厂建设工程；五是医疗用品产业园区基础设施配套工程；六是南开发区变电站建设工程。</w:t>
            </w:r>
          </w:p>
          <w:p>
            <w:pPr>
              <w:spacing w:line="360" w:lineRule="auto"/>
              <w:ind w:firstLine="482"/>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开发区道路工程。</w:t>
            </w:r>
            <w:r>
              <w:rPr>
                <w:rFonts w:asciiTheme="minorEastAsia" w:hAnsiTheme="minorEastAsia" w:eastAsiaTheme="minorEastAsia"/>
                <w:b/>
                <w:sz w:val="24"/>
                <w:szCs w:val="24"/>
              </w:rPr>
              <w:t>北工业园区</w:t>
            </w:r>
            <w:r>
              <w:rPr>
                <w:rFonts w:asciiTheme="minorEastAsia" w:hAnsiTheme="minorEastAsia" w:eastAsiaTheme="minorEastAsia"/>
                <w:sz w:val="24"/>
                <w:szCs w:val="24"/>
              </w:rPr>
              <w:t>：①规划新梨路道路工程（规划创业路东段至王河南接口）；②规划创业路东段道路工程（小王子食品至规划新梨路）；③煤矸石电厂东侧道路工程（煤矸石电厂东门至工人大街）。</w:t>
            </w:r>
            <w:r>
              <w:rPr>
                <w:rFonts w:asciiTheme="minorEastAsia" w:hAnsiTheme="minorEastAsia" w:eastAsiaTheme="minorEastAsia"/>
                <w:b/>
                <w:sz w:val="24"/>
                <w:szCs w:val="24"/>
              </w:rPr>
              <w:t>南工业园区：</w:t>
            </w:r>
            <w:r>
              <w:rPr>
                <w:rFonts w:asciiTheme="minorEastAsia" w:hAnsiTheme="minorEastAsia" w:eastAsiaTheme="minorEastAsia"/>
                <w:sz w:val="24"/>
                <w:szCs w:val="24"/>
              </w:rPr>
              <w:t>①兴业路道路工程（东起新梨公路，西至盛达包装公司东院墙）；②弘业路道路工程，东段中旭石化科技公司东院墙至规划新梨公路，西段中央大街至调兵山大街；③伟业路道路工程（东城大街至规划新梨公路）；④南四路道路工程（东城大街至规划新梨公路）；⑤南五路道路工程（东起新梨公路，西至东城大街）；⑥辽河街北段道路工程；⑦东城大街（弘业路至伟业路）；⑧清河街道路工程（南四路至伟业路）；⑨南四路至弘业路道路连接工程。</w:t>
            </w:r>
            <w:r>
              <w:rPr>
                <w:rFonts w:cs="仿宋_GB2312" w:asciiTheme="minorEastAsia" w:hAnsiTheme="minorEastAsia" w:eastAsiaTheme="minorEastAsia"/>
                <w:b/>
                <w:sz w:val="24"/>
                <w:szCs w:val="24"/>
              </w:rPr>
              <w:t>医疗器械产业园区：</w:t>
            </w:r>
            <w:r>
              <w:rPr>
                <w:rFonts w:cs="仿宋_GB2312" w:asciiTheme="minorEastAsia" w:hAnsiTheme="minorEastAsia" w:eastAsiaTheme="minorEastAsia"/>
                <w:sz w:val="24"/>
                <w:szCs w:val="24"/>
              </w:rPr>
              <w:t>①凤凰路道路工程（东起工人大街南沿线，西至调兵山大街）；②闾山路道路工程（东起工人大街南沿线，西至浑河街）；③浑河街道路工程（北起凤凰路，南至新调线）。</w:t>
            </w:r>
          </w:p>
        </w:tc>
      </w:tr>
    </w:tbl>
    <w:p>
      <w:pPr>
        <w:ind w:firstLine="640"/>
      </w:pPr>
    </w:p>
    <w:p>
      <w:pPr>
        <w:ind w:firstLine="640"/>
        <w:sectPr>
          <w:footerReference r:id="rId8" w:type="default"/>
          <w:pgSz w:w="11906" w:h="16838"/>
          <w:pgMar w:top="1440" w:right="1800" w:bottom="1440" w:left="1800" w:header="851" w:footer="992" w:gutter="0"/>
          <w:pgNumType w:start="1"/>
          <w:cols w:space="425" w:num="1"/>
          <w:docGrid w:type="lines" w:linePitch="312" w:charSpace="0"/>
        </w:sectPr>
      </w:pPr>
    </w:p>
    <w:bookmarkEnd w:id="138"/>
    <w:bookmarkEnd w:id="139"/>
    <w:p>
      <w:pPr>
        <w:pStyle w:val="3"/>
        <w:spacing w:before="0" w:afterLines="10" w:line="360" w:lineRule="auto"/>
        <w:rPr>
          <w:sz w:val="36"/>
        </w:rPr>
      </w:pPr>
      <w:bookmarkStart w:id="144" w:name="_Toc47622049"/>
      <w:bookmarkStart w:id="145" w:name="_Toc50887020"/>
      <w:bookmarkStart w:id="146" w:name="_Toc50889156"/>
      <w:bookmarkStart w:id="147" w:name="_Toc50889062"/>
      <w:bookmarkStart w:id="148" w:name="_Toc58853101"/>
      <w:r>
        <w:rPr>
          <w:rFonts w:hint="eastAsia" w:ascii="黑体" w:hAnsi="黑体" w:cs="黑体"/>
          <w:b w:val="0"/>
          <w:bCs w:val="0"/>
          <w:sz w:val="32"/>
          <w:szCs w:val="32"/>
        </w:rPr>
        <w:t>第七章 做强做优现代服务业，提升城市</w:t>
      </w:r>
      <w:bookmarkEnd w:id="144"/>
      <w:bookmarkEnd w:id="145"/>
      <w:bookmarkEnd w:id="146"/>
      <w:bookmarkEnd w:id="147"/>
      <w:r>
        <w:rPr>
          <w:rFonts w:hint="eastAsia" w:ascii="黑体" w:hAnsi="黑体" w:cs="黑体"/>
          <w:b w:val="0"/>
          <w:bCs w:val="0"/>
          <w:sz w:val="32"/>
          <w:szCs w:val="32"/>
        </w:rPr>
        <w:t>服务功能</w:t>
      </w:r>
      <w:bookmarkEnd w:id="148"/>
    </w:p>
    <w:p>
      <w:pPr>
        <w:spacing w:line="360" w:lineRule="auto"/>
        <w:ind w:firstLine="640"/>
        <w:rPr>
          <w:rFonts w:ascii="Times New Roman" w:hAnsi="Times New Roman" w:eastAsia="仿宋_GB2312" w:cs="Times New Roman"/>
          <w:szCs w:val="32"/>
        </w:rPr>
      </w:pPr>
      <w:r>
        <w:rPr>
          <w:rFonts w:hint="eastAsia" w:ascii="Times New Roman" w:hAnsi="Times New Roman" w:eastAsia="仿宋_GB2312" w:cs="仿宋_GB2312"/>
          <w:szCs w:val="32"/>
        </w:rPr>
        <w:t>发挥好次区域中心城市优势，做强现代服务业，提升服务业支撑经济发展、吸纳居民就业能力。</w:t>
      </w:r>
      <w:r>
        <w:rPr>
          <w:rFonts w:hint="eastAsia" w:ascii="仿宋_GB2312" w:eastAsia="仿宋_GB2312"/>
          <w:szCs w:val="32"/>
          <w:lang w:val="zh-CN"/>
        </w:rPr>
        <w:t>推动住宿餐饮等传统服务业转型升级</w:t>
      </w:r>
      <w:r>
        <w:rPr>
          <w:rStyle w:val="59"/>
          <w:rFonts w:hint="eastAsia" w:ascii="仿宋_GB2312" w:hAnsi="仿宋" w:eastAsia="仿宋_GB2312"/>
          <w:sz w:val="32"/>
          <w:szCs w:val="32"/>
        </w:rPr>
        <w:t>，</w:t>
      </w:r>
      <w:r>
        <w:rPr>
          <w:rFonts w:hint="eastAsia" w:ascii="仿宋_GB2312" w:eastAsia="仿宋_GB2312"/>
          <w:szCs w:val="32"/>
        </w:rPr>
        <w:t>发展现代物流、金融、服务外包、健康养老等现代服务业，</w:t>
      </w:r>
      <w:r>
        <w:rPr>
          <w:rFonts w:ascii="Times New Roman" w:hAnsi="Times New Roman" w:eastAsia="仿宋_GB2312" w:cs="Times New Roman"/>
          <w:szCs w:val="32"/>
        </w:rPr>
        <w:t>大力培育发展新型消费。推动现代服务业与先进制造业融合发展。</w:t>
      </w:r>
    </w:p>
    <w:p>
      <w:pPr>
        <w:pStyle w:val="4"/>
        <w:spacing w:before="0" w:after="0" w:line="360" w:lineRule="auto"/>
        <w:rPr>
          <w:rFonts w:ascii="楷体" w:hAnsi="楷体" w:eastAsia="楷体" w:cs="Times New Roman"/>
          <w:bCs w:val="0"/>
        </w:rPr>
      </w:pPr>
      <w:bookmarkStart w:id="149" w:name="_Toc47622051"/>
      <w:bookmarkStart w:id="150" w:name="_Toc50889158"/>
      <w:bookmarkStart w:id="151" w:name="_Toc50889064"/>
      <w:bookmarkStart w:id="152" w:name="_Toc50887022"/>
      <w:bookmarkStart w:id="153" w:name="_Toc58853102"/>
      <w:r>
        <w:rPr>
          <w:rFonts w:hint="eastAsia" w:ascii="楷体_GB2312" w:hAnsi="楷体_GB2312" w:eastAsia="楷体_GB2312" w:cs="楷体_GB2312"/>
          <w:bCs w:val="0"/>
        </w:rPr>
        <w:t>第一节 推动生活性服务业</w:t>
      </w:r>
      <w:bookmarkEnd w:id="149"/>
      <w:bookmarkEnd w:id="150"/>
      <w:bookmarkEnd w:id="151"/>
      <w:bookmarkEnd w:id="152"/>
      <w:r>
        <w:rPr>
          <w:rFonts w:hint="eastAsia" w:ascii="楷体_GB2312" w:hAnsi="楷体_GB2312" w:eastAsia="楷体_GB2312" w:cs="楷体_GB2312"/>
          <w:bCs w:val="0"/>
        </w:rPr>
        <w:t>转型升级</w:t>
      </w:r>
      <w:bookmarkEnd w:id="153"/>
    </w:p>
    <w:p>
      <w:pPr>
        <w:spacing w:line="360" w:lineRule="auto"/>
        <w:ind w:firstLine="643"/>
        <w:rPr>
          <w:rFonts w:ascii="仿宋_GB2312" w:hAnsi="仿宋_GB2312" w:eastAsia="仿宋_GB2312" w:cs="仿宋_GB2312"/>
          <w:szCs w:val="32"/>
        </w:rPr>
      </w:pPr>
      <w:r>
        <w:rPr>
          <w:rFonts w:hint="eastAsia" w:ascii="仿宋_GB2312" w:hAnsi="仿宋_GB2312" w:eastAsia="仿宋_GB2312" w:cs="仿宋_GB2312"/>
          <w:b/>
          <w:bCs/>
          <w:szCs w:val="28"/>
        </w:rPr>
        <w:t>促进传统商贸服务业转型</w:t>
      </w:r>
      <w:r>
        <w:rPr>
          <w:rFonts w:hint="eastAsia" w:ascii="仿宋_GB2312" w:hAnsi="仿宋_GB2312" w:eastAsia="仿宋_GB2312" w:cs="仿宋_GB2312"/>
          <w:szCs w:val="28"/>
        </w:rPr>
        <w:t>。</w:t>
      </w:r>
      <w:r>
        <w:rPr>
          <w:rFonts w:hint="eastAsia" w:ascii="仿宋_GB2312" w:hAnsi="仿宋_GB2312" w:eastAsia="仿宋_GB2312" w:cs="仿宋_GB2312"/>
          <w:szCs w:val="32"/>
        </w:rPr>
        <w:t>鼓励传统零售企业向大型综合服务体、便利店转型升级，重点推进调兵山市场升级改造、商业大厦向大型综合服务体转型。盘活新时代广场、地下商业街，引进有影响力、辐射面广的大型商业集团</w:t>
      </w:r>
      <w:r>
        <w:rPr>
          <w:rFonts w:hint="eastAsia" w:ascii="仿宋_GB2312" w:hAnsi="仿宋_GB2312" w:eastAsia="仿宋_GB2312" w:cs="仿宋_GB2312"/>
          <w:szCs w:val="28"/>
        </w:rPr>
        <w:t>。实施商圈引领工程，改造商业步行街和特色街区，</w:t>
      </w:r>
      <w:r>
        <w:rPr>
          <w:rFonts w:hint="eastAsia" w:ascii="仿宋_GB2312" w:hAnsi="仿宋_GB2312" w:eastAsia="仿宋_GB2312" w:cs="仿宋_GB2312"/>
          <w:bCs/>
          <w:szCs w:val="32"/>
        </w:rPr>
        <w:t>重点打造商业大厦西侧步行街、金街、仿古一条街、兀术古城一条街、施荒地一条街等特色街区，</w:t>
      </w:r>
      <w:r>
        <w:rPr>
          <w:rFonts w:hint="eastAsia" w:ascii="仿宋_GB2312" w:hAnsi="仿宋_GB2312" w:eastAsia="仿宋_GB2312" w:cs="仿宋_GB2312"/>
          <w:szCs w:val="28"/>
        </w:rPr>
        <w:t>因地制宜发展新型文旅商业消费聚集区。</w:t>
      </w:r>
    </w:p>
    <w:p>
      <w:pPr>
        <w:spacing w:line="360" w:lineRule="auto"/>
        <w:ind w:firstLine="643"/>
        <w:rPr>
          <w:rFonts w:ascii="仿宋_GB2312" w:hAnsi="仿宋_GB2312" w:eastAsia="仿宋_GB2312" w:cs="仿宋_GB2312"/>
          <w:szCs w:val="32"/>
        </w:rPr>
      </w:pPr>
      <w:bookmarkStart w:id="154" w:name="_Toc463010155"/>
      <w:r>
        <w:rPr>
          <w:rFonts w:hint="eastAsia" w:ascii="仿宋_GB2312" w:hAnsi="仿宋_GB2312" w:eastAsia="仿宋_GB2312" w:cs="仿宋_GB2312"/>
          <w:b/>
          <w:szCs w:val="32"/>
        </w:rPr>
        <w:t>加快批零传统服务业升级。</w:t>
      </w:r>
      <w:bookmarkEnd w:id="154"/>
      <w:r>
        <w:rPr>
          <w:rFonts w:hint="eastAsia" w:ascii="仿宋_GB2312" w:hAnsi="仿宋_GB2312" w:eastAsia="仿宋_GB2312" w:cs="仿宋_GB2312"/>
          <w:kern w:val="10"/>
          <w:szCs w:val="32"/>
        </w:rPr>
        <w:t>加快建设辐射周边地区的商贸专业市场</w:t>
      </w:r>
      <w:r>
        <w:rPr>
          <w:rFonts w:hint="eastAsia" w:ascii="仿宋_GB2312" w:hAnsi="仿宋_GB2312" w:eastAsia="仿宋_GB2312" w:cs="仿宋_GB2312"/>
          <w:szCs w:val="32"/>
        </w:rPr>
        <w:t>，加快综合性农副产品批发交易市场标准化建设，构建区域性农副产品集散中心。支持批发零售龙头企业做大做优做强，加大中小微批零企业扶持力度，鼓励零售企业通过集中采购、买断经营、开发自有品牌等方式提高直销自营比例。</w:t>
      </w:r>
    </w:p>
    <w:p>
      <w:pPr>
        <w:spacing w:line="360" w:lineRule="auto"/>
        <w:ind w:firstLine="643"/>
        <w:rPr>
          <w:rFonts w:ascii="仿宋_GB2312" w:hAnsi="仿宋_GB2312" w:eastAsia="仿宋_GB2312" w:cs="仿宋_GB2312"/>
          <w:bCs/>
          <w:szCs w:val="32"/>
        </w:rPr>
      </w:pPr>
      <w:r>
        <w:rPr>
          <w:rFonts w:hint="eastAsia" w:ascii="仿宋_GB2312" w:hAnsi="仿宋_GB2312" w:eastAsia="仿宋_GB2312" w:cs="仿宋_GB2312"/>
          <w:b/>
        </w:rPr>
        <w:t>推进住宿餐饮业高品质发展</w:t>
      </w:r>
      <w:r>
        <w:rPr>
          <w:rFonts w:hint="eastAsia" w:ascii="仿宋_GB2312" w:hAnsi="仿宋_GB2312" w:eastAsia="仿宋_GB2312" w:cs="仿宋_GB2312"/>
        </w:rPr>
        <w:t>。</w:t>
      </w:r>
      <w:r>
        <w:rPr>
          <w:rFonts w:hint="eastAsia" w:ascii="仿宋_GB2312" w:hAnsi="仿宋_GB2312" w:eastAsia="仿宋_GB2312" w:cs="仿宋_GB2312"/>
          <w:szCs w:val="32"/>
        </w:rPr>
        <w:t>补齐住宿业发展短板，发展以品牌高端酒店为引领、连锁商务酒店为骨干、乡村休闲民宿为补充的住宿体系，提升接待能力和居住体验；积极推进乡村民宿酒店和家庭式旅馆升级。</w:t>
      </w:r>
      <w:r>
        <w:rPr>
          <w:rFonts w:hint="eastAsia" w:ascii="仿宋_GB2312" w:hAnsi="仿宋_GB2312" w:eastAsia="仿宋_GB2312" w:cs="仿宋_GB2312"/>
          <w:bCs/>
          <w:szCs w:val="32"/>
        </w:rPr>
        <w:t>盘活檀香湾五星级酒店、宝平酒店，依托竹溪园温泉酒店，带动温泉旅游发展。大力挖掘和培育地方特色美食文化，</w:t>
      </w:r>
      <w:r>
        <w:rPr>
          <w:rFonts w:hint="eastAsia" w:ascii="仿宋_GB2312" w:hAnsi="仿宋_GB2312" w:eastAsia="仿宋_GB2312" w:cs="仿宋_GB2312"/>
          <w:szCs w:val="32"/>
        </w:rPr>
        <w:t>做精做强老字号，</w:t>
      </w:r>
      <w:r>
        <w:rPr>
          <w:rFonts w:hint="eastAsia" w:ascii="仿宋_GB2312" w:hAnsi="仿宋_GB2312" w:eastAsia="仿宋_GB2312" w:cs="仿宋_GB2312"/>
          <w:bCs/>
          <w:szCs w:val="32"/>
        </w:rPr>
        <w:t>培育一批品牌餐饮“百年老店”。</w:t>
      </w:r>
    </w:p>
    <w:p>
      <w:pPr>
        <w:spacing w:line="360" w:lineRule="auto"/>
        <w:ind w:firstLine="643"/>
        <w:jc w:val="left"/>
        <w:rPr>
          <w:rFonts w:ascii="仿宋_GB2312" w:hAnsi="仿宋_GB2312" w:eastAsia="仿宋_GB2312" w:cs="仿宋_GB2312"/>
          <w:szCs w:val="28"/>
        </w:rPr>
      </w:pPr>
      <w:r>
        <w:rPr>
          <w:rFonts w:hint="eastAsia" w:ascii="仿宋_GB2312" w:hAnsi="仿宋_GB2312" w:eastAsia="仿宋_GB2312" w:cs="仿宋_GB2312"/>
          <w:b/>
          <w:bCs/>
          <w:szCs w:val="28"/>
        </w:rPr>
        <w:t>大力发展社区生活服务业。</w:t>
      </w:r>
      <w:r>
        <w:rPr>
          <w:rFonts w:hint="eastAsia" w:ascii="仿宋_GB2312" w:hAnsi="仿宋_GB2312" w:eastAsia="仿宋_GB2312" w:cs="仿宋_GB2312"/>
          <w:szCs w:val="28"/>
        </w:rPr>
        <w:t>引进和培育一批规范化、品牌化、连锁型社区超市、便利店，打造“宜居宜业宜商”的社区周边微环境。打造社区“餐饮、购物、生活服务、运动、健康、教育、娱乐”15分钟生活圈，重点提升生鲜超市、社区养老等生活服务业质量。推动家政服务业健康发展。</w:t>
      </w:r>
    </w:p>
    <w:p>
      <w:pPr>
        <w:widowControl/>
        <w:ind w:firstLine="643"/>
        <w:jc w:val="left"/>
        <w:rPr>
          <w:rFonts w:ascii="仿宋_GB2312" w:hAnsi="仿宋_GB2312" w:eastAsia="仿宋_GB2312" w:cs="仿宋_GB2312"/>
          <w:szCs w:val="28"/>
        </w:rPr>
      </w:pPr>
      <w:r>
        <w:rPr>
          <w:rFonts w:hint="eastAsia" w:ascii="仿宋_GB2312" w:hAnsi="仿宋_GB2312" w:eastAsia="仿宋_GB2312" w:cs="仿宋_GB2312"/>
          <w:b/>
          <w:szCs w:val="28"/>
        </w:rPr>
        <w:t>培育新消费增长点</w:t>
      </w:r>
      <w:r>
        <w:rPr>
          <w:rFonts w:hint="eastAsia" w:ascii="仿宋_GB2312" w:hAnsi="仿宋_GB2312" w:eastAsia="仿宋_GB2312" w:cs="仿宋_GB2312"/>
          <w:szCs w:val="28"/>
        </w:rPr>
        <w:t>。</w:t>
      </w:r>
      <w:r>
        <w:rPr>
          <w:rFonts w:hint="eastAsia" w:ascii="仿宋_GB2312" w:hAnsi="仿宋_GB2312" w:eastAsia="仿宋_GB2312" w:cs="仿宋_GB2312"/>
          <w:color w:val="000000" w:themeColor="text1"/>
          <w:kern w:val="0"/>
          <w:szCs w:val="32"/>
        </w:rPr>
        <w:t>引导主要商圈和特色商业街与文化、旅游休闲等紧密集合，适当延长营业时间，开设深夜营业专区、24小时便利店和“深夜食堂”等特色餐饮街区，培育一批夜间演艺精品，打造夜间消费场景和文旅消费集聚区，</w:t>
      </w:r>
      <w:r>
        <w:rPr>
          <w:rFonts w:hint="eastAsia" w:ascii="仿宋_GB2312" w:hAnsi="仿宋_GB2312" w:eastAsia="仿宋_GB2312" w:cs="仿宋_GB2312"/>
          <w:color w:val="000000" w:themeColor="text1"/>
          <w:szCs w:val="32"/>
        </w:rPr>
        <w:t>发展“夜经济”“云逛街”等新模式。</w:t>
      </w:r>
      <w:r>
        <w:rPr>
          <w:rFonts w:hint="eastAsia" w:ascii="仿宋_GB2312" w:hAnsi="仿宋_GB2312" w:eastAsia="仿宋_GB2312" w:cs="仿宋_GB2312"/>
          <w:szCs w:val="32"/>
        </w:rPr>
        <w:t>推动消费新模式新业态发展，创新线上线下消费场景，发展夜经济、假日经济、平台经济、共享经济，培育体验式消费。</w:t>
      </w:r>
    </w:p>
    <w:p>
      <w:pPr>
        <w:pStyle w:val="4"/>
        <w:spacing w:before="0" w:after="0" w:line="360" w:lineRule="auto"/>
        <w:rPr>
          <w:rFonts w:ascii="楷体_GB2312" w:hAnsi="楷体_GB2312" w:eastAsia="楷体_GB2312" w:cs="楷体_GB2312"/>
          <w:bCs w:val="0"/>
        </w:rPr>
      </w:pPr>
      <w:bookmarkStart w:id="155" w:name="_Toc58853103"/>
      <w:bookmarkStart w:id="156" w:name="_Toc47622050"/>
      <w:bookmarkStart w:id="157" w:name="_Toc50889157"/>
      <w:bookmarkStart w:id="158" w:name="_Toc50887021"/>
      <w:bookmarkStart w:id="159" w:name="_Toc50889063"/>
      <w:r>
        <w:rPr>
          <w:rFonts w:hint="eastAsia" w:ascii="楷体_GB2312" w:hAnsi="楷体_GB2312" w:eastAsia="楷体_GB2312" w:cs="楷体_GB2312"/>
          <w:bCs w:val="0"/>
        </w:rPr>
        <w:t>第二节 加快发展生产性服务业</w:t>
      </w:r>
      <w:bookmarkEnd w:id="155"/>
      <w:bookmarkEnd w:id="156"/>
      <w:bookmarkEnd w:id="157"/>
      <w:bookmarkEnd w:id="158"/>
      <w:bookmarkEnd w:id="159"/>
    </w:p>
    <w:p>
      <w:pPr>
        <w:ind w:firstLine="643"/>
        <w:rPr>
          <w:rFonts w:ascii="仿宋_GB2312" w:hAnsi="仿宋_GB2312" w:eastAsia="仿宋_GB2312" w:cs="仿宋_GB2312"/>
          <w:bCs/>
          <w:szCs w:val="28"/>
        </w:rPr>
      </w:pPr>
      <w:r>
        <w:rPr>
          <w:rFonts w:hint="eastAsia" w:ascii="仿宋_GB2312" w:hAnsi="仿宋_GB2312" w:eastAsia="仿宋_GB2312" w:cs="仿宋_GB2312"/>
          <w:b/>
          <w:bCs/>
          <w:szCs w:val="28"/>
        </w:rPr>
        <w:t>打造现代物流体系。</w:t>
      </w:r>
      <w:r>
        <w:rPr>
          <w:rFonts w:hint="eastAsia" w:ascii="仿宋_GB2312" w:hAnsi="仿宋_GB2312" w:eastAsia="仿宋_GB2312" w:cs="仿宋_GB2312"/>
          <w:szCs w:val="32"/>
        </w:rPr>
        <w:t>依托城北工业区和城南经济开发区工业物流需求，围绕燃料乙醇发展危化品物流、围绕PVC手套厂建设医疗用品及特种商品物流、发展煤炭物流基地。积极融入铁岭市域物流通道，协调推进公路、铁路建设，加快建设快速、通畅的集疏运体系，建设公路港。全力打造辐射沈阳、抚顺、铁岭等周边城市的现代物流业核心区。推动冷链物流布局，</w:t>
      </w:r>
      <w:r>
        <w:rPr>
          <w:rFonts w:hint="eastAsia" w:ascii="仿宋_GB2312" w:hAnsi="仿宋_GB2312" w:eastAsia="仿宋_GB2312" w:cs="仿宋_GB2312"/>
          <w:bCs/>
          <w:szCs w:val="28"/>
        </w:rPr>
        <w:t>完善城乡物流配送体系，</w:t>
      </w:r>
      <w:r>
        <w:rPr>
          <w:rFonts w:hint="eastAsia" w:ascii="仿宋_GB2312" w:hAnsi="仿宋_GB2312" w:eastAsia="仿宋_GB2312" w:cs="仿宋_GB2312"/>
          <w:szCs w:val="28"/>
        </w:rPr>
        <w:t>全面提高乡镇快递服务覆盖率。</w:t>
      </w:r>
    </w:p>
    <w:p>
      <w:pPr>
        <w:spacing w:line="360" w:lineRule="auto"/>
        <w:ind w:firstLine="643"/>
        <w:rPr>
          <w:rFonts w:ascii="仿宋_GB2312" w:hAnsi="仿宋_GB2312" w:eastAsia="仿宋_GB2312" w:cs="仿宋_GB2312"/>
          <w:szCs w:val="32"/>
        </w:rPr>
      </w:pPr>
      <w:r>
        <w:rPr>
          <w:rFonts w:hint="eastAsia" w:ascii="仿宋_GB2312" w:hAnsi="仿宋_GB2312" w:eastAsia="仿宋_GB2312" w:cs="仿宋_GB2312"/>
          <w:b/>
          <w:szCs w:val="32"/>
        </w:rPr>
        <w:t>发展现代金融业。</w:t>
      </w:r>
      <w:r>
        <w:rPr>
          <w:rFonts w:hint="eastAsia" w:ascii="仿宋_GB2312" w:hAnsi="仿宋_GB2312" w:eastAsia="仿宋_GB2312" w:cs="仿宋_GB2312"/>
          <w:szCs w:val="32"/>
        </w:rPr>
        <w:t>抓好金融机构招商，重点引进域外股份制银行、城商行，积极探索设立基金、租赁等产业金融机构，加大对中小企业的信贷投放。稳步发展农村金融。积极发展村镇银行。做好融资需求项目储备工作，鼓励和引导优质企业通过“新三板”挂牌开辟直接融资渠道；加强担保体系建设，支持融资担保机构扩大业务规模。</w:t>
      </w:r>
    </w:p>
    <w:p>
      <w:pPr>
        <w:ind w:firstLine="643"/>
        <w:rPr>
          <w:rFonts w:ascii="仿宋_GB2312" w:hAnsi="仿宋_GB2312" w:eastAsia="仿宋_GB2312" w:cs="仿宋_GB2312"/>
          <w:szCs w:val="32"/>
        </w:rPr>
      </w:pPr>
      <w:r>
        <w:rPr>
          <w:rFonts w:hint="eastAsia" w:ascii="仿宋_GB2312" w:hAnsi="仿宋_GB2312" w:eastAsia="仿宋_GB2312" w:cs="仿宋_GB2312"/>
          <w:b/>
        </w:rPr>
        <w:t>加快发展教育培训业。</w:t>
      </w:r>
      <w:r>
        <w:rPr>
          <w:rFonts w:hint="eastAsia" w:ascii="仿宋_GB2312" w:hAnsi="仿宋_GB2312" w:eastAsia="仿宋_GB2312" w:cs="仿宋_GB2312"/>
          <w:szCs w:val="32"/>
        </w:rPr>
        <w:t>以中高等职业院校为培训基地，依托全市城乡技术培训网络，广泛开展对贫困家庭子女、未升学初高中毕业生、农民工、失业人员和转岗职工、职业农民、退役军人以及去产能淘汰企业转岗职工的职业技能培训。调整优化职业院校布局和专业设置，加强学校硬件建设和教师队伍建设，依托辽北技师学院资源优势，整合现有教育资源，建成辽北职业教育基地与产学研创新中心。</w:t>
      </w:r>
    </w:p>
    <w:p>
      <w:pPr>
        <w:spacing w:line="360" w:lineRule="auto"/>
        <w:ind w:firstLine="643"/>
        <w:rPr>
          <w:rFonts w:ascii="仿宋_GB2312" w:hAnsi="仿宋_GB2312" w:eastAsia="仿宋_GB2312" w:cs="仿宋_GB2312"/>
          <w:b/>
          <w:szCs w:val="32"/>
        </w:rPr>
      </w:pPr>
      <w:r>
        <w:rPr>
          <w:rFonts w:hint="eastAsia" w:ascii="仿宋_GB2312" w:hAnsi="仿宋_GB2312" w:eastAsia="仿宋_GB2312" w:cs="仿宋_GB2312"/>
          <w:b/>
          <w:szCs w:val="32"/>
        </w:rPr>
        <w:t>发展服务外包产业。</w:t>
      </w:r>
      <w:r>
        <w:rPr>
          <w:rFonts w:hint="eastAsia" w:ascii="仿宋_GB2312" w:hAnsi="仿宋_GB2312" w:eastAsia="仿宋_GB2312" w:cs="仿宋_GB2312"/>
          <w:kern w:val="0"/>
          <w:szCs w:val="32"/>
        </w:rPr>
        <w:t>加快服务外包产业示范基地建设。支持联睿科技与中国联通、中国电信及中国移动铁岭分公司共建大数据云平台，形成资源整合及共享。推进联睿科技、北通科技、铁煤大数据、韵城科技整合资源做大做强。“十四五”期间内，积极</w:t>
      </w:r>
      <w:r>
        <w:rPr>
          <w:rFonts w:hint="eastAsia" w:ascii="仿宋_GB2312" w:hAnsi="仿宋_GB2312" w:eastAsia="仿宋_GB2312" w:cs="仿宋_GB2312"/>
          <w:szCs w:val="32"/>
        </w:rPr>
        <w:t>打造辽北声谷服务外包产业园项目，建成3000座席的呼叫转移业务。</w:t>
      </w:r>
    </w:p>
    <w:p>
      <w:pPr>
        <w:spacing w:line="360" w:lineRule="auto"/>
        <w:ind w:firstLine="643"/>
        <w:rPr>
          <w:rFonts w:ascii="仿宋_GB2312" w:hAnsi="仿宋_GB2312" w:eastAsia="仿宋_GB2312" w:cs="仿宋_GB2312"/>
          <w:szCs w:val="32"/>
        </w:rPr>
      </w:pPr>
      <w:r>
        <w:rPr>
          <w:rFonts w:hint="eastAsia" w:ascii="仿宋_GB2312" w:hAnsi="仿宋_GB2312" w:eastAsia="仿宋_GB2312" w:cs="仿宋_GB2312"/>
          <w:b/>
          <w:szCs w:val="32"/>
        </w:rPr>
        <w:t>推进农业生产性服务业发展。</w:t>
      </w:r>
      <w:r>
        <w:rPr>
          <w:rFonts w:hint="eastAsia" w:ascii="仿宋_GB2312" w:hAnsi="仿宋_GB2312" w:eastAsia="仿宋_GB2312" w:cs="仿宋_GB2312"/>
          <w:szCs w:val="32"/>
        </w:rPr>
        <w:t>强化科技对农业的支撑，提高农技推广服务效能。立足本地及周边优势农业资源，依托锁龙沟批发市场、调兵山市场、双燕卖场，全面升级农产品销售网络。培育一批大型现代化农产品批发企业，继续推广“邮农丰”模式，加快构建便民、利民的农产品流通网络。</w:t>
      </w:r>
    </w:p>
    <w:p>
      <w:pPr>
        <w:spacing w:line="360" w:lineRule="auto"/>
        <w:ind w:firstLine="643"/>
        <w:rPr>
          <w:rFonts w:ascii="仿宋_GB2312" w:hAnsi="仿宋_GB2312" w:eastAsia="仿宋_GB2312" w:cs="仿宋_GB2312"/>
          <w:szCs w:val="32"/>
        </w:rPr>
      </w:pPr>
      <w:r>
        <w:rPr>
          <w:rFonts w:hint="eastAsia" w:ascii="仿宋_GB2312" w:hAnsi="仿宋_GB2312" w:eastAsia="仿宋_GB2312" w:cs="仿宋_GB2312"/>
          <w:b/>
          <w:szCs w:val="28"/>
        </w:rPr>
        <w:t>大力发展商务服务及会展业。</w:t>
      </w:r>
      <w:r>
        <w:rPr>
          <w:rFonts w:hint="eastAsia" w:ascii="仿宋_GB2312" w:hAnsi="仿宋_GB2312" w:eastAsia="仿宋_GB2312" w:cs="仿宋_GB2312"/>
          <w:szCs w:val="28"/>
        </w:rPr>
        <w:t>依托东北煤机物流中心，开展煤机博览会，积极发展机械设计、咨询评估、信用中介、检验检测认证等服务，提高专业化水平。整合会展资源，引导“展、会、节、演”互联互动，培育专业会展企业和自主品牌展会。举办具有较大影响、区域性的会议和展览以及大型节庆活动。加强网络和电子信息技术在会展业中的应用，实现实体展览和网上展览相结合。</w:t>
      </w:r>
    </w:p>
    <w:p>
      <w:pPr>
        <w:spacing w:line="360" w:lineRule="auto"/>
        <w:ind w:firstLine="643"/>
        <w:rPr>
          <w:rFonts w:ascii="仿宋_GB2312" w:hAnsi="仿宋_GB2312" w:eastAsia="仿宋_GB2312" w:cs="仿宋_GB2312"/>
          <w:szCs w:val="32"/>
        </w:rPr>
      </w:pPr>
      <w:r>
        <w:rPr>
          <w:rFonts w:hint="eastAsia" w:ascii="仿宋_GB2312" w:hAnsi="仿宋_GB2312" w:eastAsia="仿宋_GB2312" w:cs="仿宋_GB2312"/>
          <w:b/>
          <w:szCs w:val="32"/>
        </w:rPr>
        <w:t>发展科技信息服务业。</w:t>
      </w:r>
      <w:r>
        <w:rPr>
          <w:rFonts w:hint="eastAsia" w:ascii="仿宋_GB2312" w:hAnsi="仿宋_GB2312" w:eastAsia="仿宋_GB2312" w:cs="仿宋_GB2312"/>
          <w:bCs/>
          <w:szCs w:val="32"/>
        </w:rPr>
        <w:t>推进科技信息服务业发展，加快发展软件和信息技术产业，促进工业产品、基础设施、关键设备、流程管理的智能化和制造资源与能力协同共享。大力发展行业应用软件和解决方案，依靠信息技术引领支撑金融、交通、教育、医疗、旅游等现代服务业。着力推进互联网与传统产业融合发展。</w:t>
      </w:r>
    </w:p>
    <w:p>
      <w:pPr>
        <w:pStyle w:val="4"/>
        <w:spacing w:before="0" w:after="0" w:line="360" w:lineRule="auto"/>
        <w:rPr>
          <w:rFonts w:ascii="楷体_GB2312" w:hAnsi="楷体_GB2312" w:eastAsia="楷体_GB2312" w:cs="楷体_GB2312"/>
          <w:bCs w:val="0"/>
        </w:rPr>
      </w:pPr>
      <w:bookmarkStart w:id="160" w:name="_Toc50889159"/>
      <w:bookmarkStart w:id="161" w:name="_Toc50887023"/>
      <w:bookmarkStart w:id="162" w:name="_Toc50889065"/>
      <w:bookmarkStart w:id="163" w:name="_Toc58853104"/>
      <w:r>
        <w:rPr>
          <w:rFonts w:hint="eastAsia" w:ascii="楷体_GB2312" w:hAnsi="楷体_GB2312" w:eastAsia="楷体_GB2312" w:cs="楷体_GB2312"/>
          <w:bCs w:val="0"/>
        </w:rPr>
        <w:t xml:space="preserve">第三节 </w:t>
      </w:r>
      <w:bookmarkEnd w:id="160"/>
      <w:bookmarkEnd w:id="161"/>
      <w:bookmarkEnd w:id="162"/>
      <w:r>
        <w:rPr>
          <w:rFonts w:hint="eastAsia" w:ascii="楷体_GB2312" w:hAnsi="楷体_GB2312" w:eastAsia="楷体_GB2312" w:cs="楷体_GB2312"/>
          <w:bCs w:val="0"/>
        </w:rPr>
        <w:t>打造生态宜居康养中心</w:t>
      </w:r>
      <w:bookmarkEnd w:id="163"/>
    </w:p>
    <w:p>
      <w:pPr>
        <w:spacing w:line="360" w:lineRule="auto"/>
        <w:ind w:firstLine="643"/>
        <w:rPr>
          <w:rFonts w:ascii="仿宋_GB2312" w:hAnsi="仿宋_GB2312" w:eastAsia="仿宋_GB2312" w:cs="仿宋_GB2312"/>
          <w:szCs w:val="32"/>
        </w:rPr>
      </w:pPr>
      <w:r>
        <w:rPr>
          <w:rFonts w:hint="eastAsia" w:ascii="仿宋_GB2312" w:hAnsi="仿宋_GB2312" w:eastAsia="仿宋_GB2312" w:cs="仿宋_GB2312"/>
          <w:b/>
          <w:szCs w:val="32"/>
        </w:rPr>
        <w:t>打造生态宜居康养中心。</w:t>
      </w:r>
      <w:r>
        <w:rPr>
          <w:rFonts w:hint="eastAsia" w:ascii="仿宋_GB2312" w:hAnsi="仿宋_GB2312" w:eastAsia="仿宋_GB2312" w:cs="仿宋_GB2312"/>
          <w:szCs w:val="32"/>
        </w:rPr>
        <w:t>依托辽健铁煤医院三甲医院辐射周边县区能力，结合温泉等自然生态等特色资源条件和区位优势，发展健康服务新业态，借力5G和新一代信息技术，打造“全域、全龄、全时”的健康管理闭环，构建以“医”为核心，以“养”为重点，医、养、检相结合，带动辽北地区“银发经济”发展的生态宜居康养中心。</w:t>
      </w:r>
    </w:p>
    <w:p>
      <w:pPr>
        <w:ind w:firstLine="643"/>
        <w:rPr>
          <w:rFonts w:ascii="仿宋_GB2312" w:hAnsi="仿宋_GB2312" w:eastAsia="仿宋_GB2312" w:cs="仿宋_GB2312"/>
          <w:kern w:val="0"/>
          <w:szCs w:val="32"/>
        </w:rPr>
      </w:pPr>
      <w:r>
        <w:rPr>
          <w:rFonts w:hint="eastAsia" w:ascii="仿宋_GB2312" w:hAnsi="仿宋_GB2312" w:eastAsia="仿宋_GB2312" w:cs="仿宋_GB2312"/>
          <w:b/>
          <w:kern w:val="0"/>
          <w:szCs w:val="32"/>
        </w:rPr>
        <w:t>大力发展医养结合</w:t>
      </w:r>
      <w:r>
        <w:rPr>
          <w:rFonts w:hint="eastAsia" w:ascii="仿宋_GB2312" w:hAnsi="仿宋_GB2312" w:eastAsia="仿宋_GB2312" w:cs="仿宋_GB2312"/>
          <w:kern w:val="0"/>
          <w:szCs w:val="32"/>
        </w:rPr>
        <w:t>。推进医疗机构与养老机构合作机制，推动医疗卫生服务延伸至社区、家庭，鼓励医疗机构与养老服务整合发展。促进信息共享，按要求建立医养结合信息系统和老年人健康数据库。鼓励社会力量创办集养老、医疗、护理、康复、保健为一体的医养结合机构，增加医养结合机构数量。推进护理中心、护理院和护理站建设，为老年人提供康复护理、长期照护、安宁疗护等延续性服务。</w:t>
      </w:r>
    </w:p>
    <w:p>
      <w:pPr>
        <w:spacing w:line="360" w:lineRule="auto"/>
        <w:ind w:firstLine="643"/>
        <w:rPr>
          <w:rFonts w:ascii="仿宋_GB2312" w:hAnsi="仿宋_GB2312" w:eastAsia="仿宋_GB2312" w:cs="仿宋_GB2312"/>
          <w:szCs w:val="32"/>
        </w:rPr>
      </w:pPr>
      <w:r>
        <w:rPr>
          <w:rFonts w:hint="eastAsia" w:ascii="仿宋_GB2312" w:hAnsi="仿宋_GB2312" w:eastAsia="仿宋_GB2312" w:cs="仿宋_GB2312"/>
          <w:b/>
          <w:szCs w:val="32"/>
        </w:rPr>
        <w:t>打造居家养老服务体系</w:t>
      </w:r>
      <w:r>
        <w:rPr>
          <w:rFonts w:hint="eastAsia" w:ascii="仿宋_GB2312" w:hAnsi="仿宋_GB2312" w:eastAsia="仿宋_GB2312" w:cs="仿宋_GB2312"/>
          <w:szCs w:val="32"/>
        </w:rPr>
        <w:t>。打造以居家为基础、社区为依托、机构为补充、医养相结合的多层次养老服务体系。建立居家养老服务网络平台，鼓励居家养老服务企业和机构为居家老年人提供助餐、助浴、助洁、助急、助医等定制服务；支持社区建立健全居家养老服务网点，鼓励支持社会组织和家政、物业等企业兴办或运营老年供餐、社区日间照料、托老所、老年活动中心等养老服务项目。</w:t>
      </w:r>
    </w:p>
    <w:p>
      <w:pPr>
        <w:spacing w:line="360" w:lineRule="auto"/>
        <w:ind w:firstLine="643"/>
        <w:rPr>
          <w:rFonts w:ascii="仿宋_GB2312" w:hAnsi="仿宋_GB2312" w:eastAsia="仿宋_GB2312" w:cs="仿宋_GB2312"/>
          <w:szCs w:val="32"/>
        </w:rPr>
      </w:pPr>
      <w:r>
        <w:rPr>
          <w:rFonts w:hint="eastAsia" w:ascii="仿宋_GB2312" w:hAnsi="仿宋_GB2312" w:eastAsia="仿宋_GB2312" w:cs="仿宋_GB2312"/>
          <w:b/>
          <w:szCs w:val="32"/>
        </w:rPr>
        <w:t>推进健康养老机构建设</w:t>
      </w:r>
      <w:r>
        <w:rPr>
          <w:rFonts w:hint="eastAsia" w:ascii="仿宋_GB2312" w:hAnsi="仿宋_GB2312" w:eastAsia="仿宋_GB2312" w:cs="仿宋_GB2312"/>
          <w:szCs w:val="32"/>
        </w:rPr>
        <w:t>。鼓励社会力量发展养老产业，为民办养老机构提供运营补贴和养老机构责任保险保费补贴；加强社区养老服务设施建设，建设公办保障性养老机构，加快推进集医疗、养护、康复、托管、临终关怀于一体的综合性老年养护中心建设，加强对农村敬老院的维修改造。</w:t>
      </w:r>
    </w:p>
    <w:p>
      <w:pPr>
        <w:pStyle w:val="6"/>
        <w:spacing w:before="156" w:after="156"/>
        <w:jc w:val="center"/>
        <w:rPr>
          <w:rFonts w:ascii="楷体" w:hAnsi="楷体" w:eastAsia="楷体"/>
          <w:sz w:val="28"/>
        </w:rPr>
      </w:pPr>
      <w:r>
        <w:rPr>
          <w:rFonts w:hint="eastAsia" w:ascii="楷体" w:hAnsi="楷体" w:eastAsia="楷体"/>
          <w:sz w:val="28"/>
        </w:rPr>
        <w:t>专栏7 “十四五”时期调兵山市现代服务业重点工程项目</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spacing w:line="360" w:lineRule="auto"/>
              <w:ind w:firstLine="480"/>
              <w:rPr>
                <w:rFonts w:asciiTheme="minorEastAsia" w:hAnsiTheme="minorEastAsia" w:eastAsiaTheme="minorEastAsia"/>
                <w:sz w:val="24"/>
                <w:szCs w:val="24"/>
              </w:rPr>
            </w:pPr>
            <w:r>
              <w:rPr>
                <w:rFonts w:hint="eastAsia" w:asciiTheme="minorEastAsia" w:hAnsiTheme="minorEastAsia" w:eastAsiaTheme="minorEastAsia"/>
                <w:sz w:val="24"/>
                <w:szCs w:val="24"/>
              </w:rPr>
              <w:t>1. 中央预算内重点投资项目。商业大厦升级改造、贸易城升级改造项目；2.闲置资产盘活工程。檀香湾五星酒店、兴隆百货、时代广场盘活项目；3.冷链物流项目。调兵山市友源冷链物流项目（城南）4.大型超市引进工程。在城南新引进一家大型超市，满足市民购物需求。5.大型街区改造工程。包括商业大厦西门外步行街改造项目；6.物流园区建设工程。围绕30万吨乙醇项目，规划建设工业物流园区。7.服务外包产业园项目。以现有联睿科技等4家服务外包企业为基础，建设服务外包产业园。</w:t>
            </w:r>
          </w:p>
        </w:tc>
      </w:tr>
    </w:tbl>
    <w:p>
      <w:pPr>
        <w:ind w:firstLine="419" w:firstLineChars="131"/>
        <w:sectPr>
          <w:pgSz w:w="11906" w:h="16838"/>
          <w:pgMar w:top="1440" w:right="1800" w:bottom="1440" w:left="1800" w:header="851" w:footer="992" w:gutter="0"/>
          <w:cols w:space="425" w:num="1"/>
          <w:docGrid w:type="lines" w:linePitch="312" w:charSpace="0"/>
        </w:sectPr>
      </w:pPr>
    </w:p>
    <w:p>
      <w:pPr>
        <w:pStyle w:val="3"/>
        <w:spacing w:before="0" w:afterLines="10" w:line="600" w:lineRule="exact"/>
        <w:rPr>
          <w:sz w:val="36"/>
        </w:rPr>
      </w:pPr>
      <w:bookmarkStart w:id="164" w:name="_Toc50889067"/>
      <w:bookmarkStart w:id="165" w:name="_Toc50887025"/>
      <w:bookmarkStart w:id="166" w:name="_Toc50889161"/>
      <w:bookmarkStart w:id="167" w:name="_Toc58853105"/>
      <w:r>
        <w:rPr>
          <w:rFonts w:hint="eastAsia"/>
          <w:b w:val="0"/>
          <w:bCs w:val="0"/>
          <w:sz w:val="32"/>
          <w:szCs w:val="32"/>
        </w:rPr>
        <w:t>第八章</w:t>
      </w:r>
      <w:r>
        <w:rPr>
          <w:b w:val="0"/>
          <w:bCs w:val="0"/>
          <w:sz w:val="32"/>
          <w:szCs w:val="32"/>
        </w:rPr>
        <w:t xml:space="preserve"> </w:t>
      </w:r>
      <w:r>
        <w:rPr>
          <w:rFonts w:hint="eastAsia"/>
          <w:b w:val="0"/>
          <w:bCs w:val="0"/>
          <w:sz w:val="32"/>
          <w:szCs w:val="32"/>
        </w:rPr>
        <w:t>挖掘文化内涵，打造</w:t>
      </w:r>
      <w:bookmarkEnd w:id="164"/>
      <w:bookmarkEnd w:id="165"/>
      <w:bookmarkEnd w:id="166"/>
      <w:r>
        <w:rPr>
          <w:rFonts w:hint="eastAsia"/>
          <w:b w:val="0"/>
          <w:bCs w:val="0"/>
          <w:sz w:val="32"/>
          <w:szCs w:val="32"/>
        </w:rPr>
        <w:t>复兴城市记忆文旅名城</w:t>
      </w:r>
      <w:bookmarkEnd w:id="167"/>
    </w:p>
    <w:p>
      <w:pPr>
        <w:spacing w:line="600" w:lineRule="exact"/>
        <w:ind w:firstLine="640"/>
        <w:rPr>
          <w:rFonts w:ascii="仿宋_GB2312" w:hAnsi="仿宋_GB2312" w:eastAsia="仿宋_GB2312" w:cs="仿宋_GB2312"/>
          <w:szCs w:val="32"/>
        </w:rPr>
      </w:pPr>
      <w:r>
        <w:rPr>
          <w:rFonts w:hint="eastAsia" w:ascii="仿宋_GB2312" w:hAnsi="仿宋_GB2312" w:eastAsia="仿宋_GB2312" w:cs="仿宋_GB2312"/>
          <w:szCs w:val="32"/>
        </w:rPr>
        <w:t>依托丰富的文化旅游资源和区位优势，挖掘“辽金文化、禅韵文化、工业文化”丰富内涵，推动工业旅游与辽金历史文化游、温泉游、乡村游深度融合，打造世界级“蒸汽机车旅游”品牌，复兴工业城市记忆，打造辽北生态休闲旅游目的地，将文旅产业打造成调兵山创新转型的重要接续产业。</w:t>
      </w:r>
    </w:p>
    <w:p>
      <w:pPr>
        <w:pStyle w:val="4"/>
        <w:spacing w:before="0" w:after="0" w:line="600" w:lineRule="exact"/>
        <w:rPr>
          <w:rFonts w:ascii="楷体_GB2312" w:hAnsi="楷体_GB2312" w:eastAsia="楷体_GB2312" w:cs="楷体_GB2312"/>
          <w:bCs w:val="0"/>
        </w:rPr>
      </w:pPr>
      <w:bookmarkStart w:id="168" w:name="_Toc50887026"/>
      <w:bookmarkStart w:id="169" w:name="_Toc58853106"/>
      <w:bookmarkStart w:id="170" w:name="_Toc50889068"/>
      <w:bookmarkStart w:id="171" w:name="_Toc50889162"/>
      <w:r>
        <w:rPr>
          <w:rFonts w:hint="eastAsia" w:ascii="楷体_GB2312" w:hAnsi="楷体_GB2312" w:eastAsia="楷体_GB2312" w:cs="楷体_GB2312"/>
          <w:bCs w:val="0"/>
        </w:rPr>
        <w:t>第一节 打造全域旅游空间布局</w:t>
      </w:r>
      <w:bookmarkEnd w:id="168"/>
      <w:bookmarkEnd w:id="169"/>
      <w:bookmarkEnd w:id="170"/>
      <w:bookmarkEnd w:id="171"/>
    </w:p>
    <w:p>
      <w:pPr>
        <w:spacing w:line="600" w:lineRule="exact"/>
        <w:ind w:firstLine="803" w:firstLineChars="250"/>
        <w:rPr>
          <w:rFonts w:ascii="仿宋_GB2312" w:hAnsi="仿宋_GB2312" w:eastAsia="仿宋_GB2312" w:cs="仿宋_GB2312"/>
        </w:rPr>
      </w:pPr>
      <w:r>
        <w:rPr>
          <w:rFonts w:hint="eastAsia" w:ascii="仿宋_GB2312" w:hAnsi="仿宋_GB2312" w:eastAsia="仿宋_GB2312" w:cs="仿宋_GB2312"/>
          <w:b/>
          <w:szCs w:val="28"/>
        </w:rPr>
        <w:t>打造全域旅游空间布局。</w:t>
      </w:r>
      <w:r>
        <w:rPr>
          <w:rFonts w:hint="eastAsia" w:ascii="仿宋_GB2312" w:hAnsi="仿宋_GB2312" w:eastAsia="仿宋_GB2312" w:cs="仿宋_GB2312"/>
          <w:szCs w:val="28"/>
        </w:rPr>
        <w:t>规划“一体、两翼、三片区”全域旅游空间布局。“</w:t>
      </w:r>
      <w:r>
        <w:rPr>
          <w:rFonts w:hint="eastAsia" w:ascii="仿宋_GB2312" w:hAnsi="仿宋_GB2312" w:eastAsia="仿宋_GB2312" w:cs="仿宋_GB2312"/>
        </w:rPr>
        <w:t>一体</w:t>
      </w:r>
      <w:r>
        <w:rPr>
          <w:rFonts w:hint="eastAsia" w:ascii="仿宋_GB2312" w:hAnsi="仿宋_GB2312" w:eastAsia="仿宋_GB2312" w:cs="仿宋_GB2312"/>
          <w:szCs w:val="28"/>
        </w:rPr>
        <w:t>”</w:t>
      </w:r>
      <w:r>
        <w:rPr>
          <w:rFonts w:hint="eastAsia" w:ascii="仿宋_GB2312" w:hAnsi="仿宋_GB2312" w:eastAsia="仿宋_GB2312" w:cs="仿宋_GB2312"/>
        </w:rPr>
        <w:t>城市旅游综合服务体，以调兵山城区为中心，建设旅游服务集散中心。“</w:t>
      </w:r>
      <w:r>
        <w:rPr>
          <w:rFonts w:hint="eastAsia" w:ascii="仿宋_GB2312" w:hAnsi="仿宋_GB2312" w:eastAsia="仿宋_GB2312" w:cs="仿宋_GB2312"/>
          <w:szCs w:val="32"/>
        </w:rPr>
        <w:t>东翼”城市东部矿区发展翼 ，</w:t>
      </w:r>
      <w:r>
        <w:rPr>
          <w:rFonts w:hint="eastAsia" w:ascii="仿宋_GB2312" w:hAnsi="仿宋_GB2312" w:eastAsia="仿宋_GB2312" w:cs="仿宋_GB2312"/>
        </w:rPr>
        <w:t>重点发展“蒸汽机时代”特色旅游，展现工业城市记忆；“西翼”即西部山区发展翼，将重点发展历史文化游，展现兀术古城记忆，打造关东民俗文化体验地——调兵山平安驿。三片区”即竹溪源温泉水世界休闲度假片区；明月禅寺、兀术古城、仿古街、文旅夜经济、山地户外运动文体商旅片区；蒸汽机车旅游、蒸汽机车影视基地、矿山工业旅游片区。</w:t>
      </w:r>
    </w:p>
    <w:p>
      <w:pPr>
        <w:pStyle w:val="4"/>
        <w:spacing w:before="0" w:after="0" w:line="600" w:lineRule="exact"/>
        <w:rPr>
          <w:rFonts w:ascii="楷体_GB2312" w:hAnsi="楷体_GB2312" w:eastAsia="楷体_GB2312" w:cs="楷体_GB2312"/>
          <w:bCs w:val="0"/>
        </w:rPr>
      </w:pPr>
      <w:bookmarkStart w:id="172" w:name="_Toc47623196"/>
      <w:bookmarkStart w:id="173" w:name="_Toc49098143"/>
      <w:bookmarkStart w:id="174" w:name="_Toc58853107"/>
      <w:r>
        <w:rPr>
          <w:rFonts w:hint="eastAsia" w:ascii="楷体_GB2312" w:hAnsi="楷体_GB2312" w:eastAsia="楷体_GB2312" w:cs="楷体_GB2312"/>
          <w:bCs w:val="0"/>
        </w:rPr>
        <w:t xml:space="preserve">第二节 </w:t>
      </w:r>
      <w:bookmarkEnd w:id="172"/>
      <w:bookmarkEnd w:id="173"/>
      <w:r>
        <w:rPr>
          <w:rFonts w:hint="eastAsia" w:ascii="楷体_GB2312" w:hAnsi="楷体_GB2312" w:eastAsia="楷体_GB2312" w:cs="楷体_GB2312"/>
          <w:bCs w:val="0"/>
        </w:rPr>
        <w:t>推动文化旅游体育融合发展</w:t>
      </w:r>
      <w:bookmarkEnd w:id="174"/>
    </w:p>
    <w:p>
      <w:pPr>
        <w:pStyle w:val="2"/>
        <w:pBdr>
          <w:bottom w:val="none" w:color="auto" w:sz="0" w:space="0"/>
        </w:pBdr>
        <w:spacing w:line="600" w:lineRule="exact"/>
        <w:ind w:firstLine="643"/>
        <w:jc w:val="left"/>
        <w:rPr>
          <w:rFonts w:ascii="仿宋_GB2312" w:hAnsi="仿宋_GB2312" w:eastAsia="仿宋_GB2312" w:cs="仿宋_GB2312"/>
          <w:sz w:val="32"/>
          <w:szCs w:val="22"/>
        </w:rPr>
      </w:pPr>
      <w:bookmarkStart w:id="175" w:name="_Toc46077463"/>
      <w:bookmarkStart w:id="176" w:name="_Toc50889069"/>
      <w:bookmarkStart w:id="177" w:name="_Toc50889163"/>
      <w:bookmarkStart w:id="178" w:name="_Toc50887027"/>
      <w:r>
        <w:rPr>
          <w:rFonts w:hint="eastAsia" w:ascii="仿宋_GB2312" w:hAnsi="仿宋_GB2312" w:eastAsia="仿宋_GB2312" w:cs="仿宋_GB2312"/>
          <w:b/>
          <w:sz w:val="32"/>
          <w:szCs w:val="22"/>
        </w:rPr>
        <w:t>完善公共文化服务体系建设</w:t>
      </w:r>
      <w:bookmarkEnd w:id="175"/>
      <w:r>
        <w:rPr>
          <w:rFonts w:hint="eastAsia" w:ascii="仿宋_GB2312" w:hAnsi="仿宋_GB2312" w:eastAsia="仿宋_GB2312" w:cs="仿宋_GB2312"/>
          <w:b/>
          <w:sz w:val="32"/>
          <w:szCs w:val="22"/>
        </w:rPr>
        <w:t>。</w:t>
      </w:r>
      <w:r>
        <w:rPr>
          <w:rFonts w:hint="eastAsia" w:ascii="仿宋_GB2312" w:hAnsi="仿宋_GB2312" w:eastAsia="仿宋_GB2312" w:cs="仿宋_GB2312"/>
          <w:sz w:val="32"/>
          <w:szCs w:val="22"/>
        </w:rPr>
        <w:t>补齐公益性文体基础设施建设短板，推进承接铁煤集团体育馆等公共文体服务设施，重点推进数字图书馆建设、全民健身设施建设等项目，满足群众文化需求。建设沙后所烈士纪念馆，打造成为省级爱国主义教育和国防教育的重要基地。</w:t>
      </w:r>
    </w:p>
    <w:p>
      <w:pPr>
        <w:pStyle w:val="2"/>
        <w:pBdr>
          <w:bottom w:val="none" w:color="auto" w:sz="0" w:space="0"/>
        </w:pBdr>
        <w:spacing w:line="600" w:lineRule="exact"/>
        <w:ind w:firstLine="643"/>
        <w:jc w:val="left"/>
        <w:rPr>
          <w:rFonts w:ascii="仿宋_GB2312" w:hAnsi="仿宋_GB2312" w:eastAsia="仿宋_GB2312" w:cs="仿宋_GB2312"/>
          <w:sz w:val="32"/>
          <w:szCs w:val="22"/>
        </w:rPr>
      </w:pPr>
      <w:r>
        <w:rPr>
          <w:rFonts w:hint="eastAsia" w:ascii="仿宋_GB2312" w:hAnsi="仿宋_GB2312" w:eastAsia="仿宋_GB2312" w:cs="仿宋_GB2312"/>
          <w:b/>
          <w:sz w:val="32"/>
          <w:szCs w:val="22"/>
        </w:rPr>
        <w:t>推动文化旅游体育融合发展</w:t>
      </w:r>
      <w:r>
        <w:rPr>
          <w:rFonts w:hint="eastAsia" w:ascii="仿宋_GB2312" w:hAnsi="仿宋_GB2312" w:eastAsia="仿宋_GB2312" w:cs="仿宋_GB2312"/>
          <w:sz w:val="32"/>
          <w:szCs w:val="22"/>
        </w:rPr>
        <w:t>。提升辽金文化、禅韵文化、工业文化内涵，推进文旅体融合。高标准打造“十个一工程”，打造一台好演艺、开拍一部好纪录片、创意一系列旅游形象语、整理编辑一套文化旅游书籍、开发一批文旅好产品、编创一批调兵山好故事、制作一套好宣传短片、扶持发展一批好旅行社、引导发展一批好协会、打造一批IP体育竞技赛事品牌。整合文化旅游资源，打造休闲度假、观光体验、工业旅游、农业旅游、商业旅游、影视拍摄等旅游精品。</w:t>
      </w:r>
      <w:bookmarkEnd w:id="176"/>
      <w:bookmarkEnd w:id="177"/>
      <w:bookmarkEnd w:id="178"/>
    </w:p>
    <w:p>
      <w:pPr>
        <w:pStyle w:val="2"/>
        <w:pBdr>
          <w:bottom w:val="none" w:color="auto" w:sz="0" w:space="0"/>
        </w:pBdr>
        <w:spacing w:line="600" w:lineRule="exact"/>
        <w:ind w:firstLine="643"/>
        <w:jc w:val="left"/>
        <w:rPr>
          <w:rFonts w:ascii="仿宋_GB2312" w:hAnsi="仿宋_GB2312" w:eastAsia="仿宋_GB2312" w:cs="仿宋_GB2312"/>
          <w:sz w:val="32"/>
          <w:szCs w:val="22"/>
        </w:rPr>
      </w:pPr>
      <w:r>
        <w:rPr>
          <w:rFonts w:hint="eastAsia" w:ascii="仿宋_GB2312" w:hAnsi="仿宋_GB2312" w:eastAsia="仿宋_GB2312" w:cs="仿宋_GB2312"/>
          <w:b/>
          <w:sz w:val="32"/>
          <w:szCs w:val="22"/>
        </w:rPr>
        <w:t>延伸文旅体产业链。</w:t>
      </w:r>
      <w:r>
        <w:rPr>
          <w:rFonts w:hint="eastAsia" w:ascii="仿宋_GB2312" w:hAnsi="仿宋_GB2312" w:eastAsia="仿宋_GB2312" w:cs="仿宋_GB2312"/>
          <w:sz w:val="32"/>
          <w:szCs w:val="22"/>
        </w:rPr>
        <w:t>推进旅游与工业、农业、体育深度融合，打造辽北休闲旅游目的地。依托沈阳都市圈文旅资源，着重推进调-法-康次区域文旅融合，串联法库航空小镇、康平卧龙湖、铁岭莲花湖等特色旅游线路，与法库、康平、铁岭、沈阳周边等城市建立旅游联盟，推进常态化景区互宣、线路互推、客源互送、特产互售；融入辽中南城市群旅游长线，拓展客源市场。</w:t>
      </w:r>
    </w:p>
    <w:p>
      <w:pPr>
        <w:pStyle w:val="2"/>
        <w:pBdr>
          <w:bottom w:val="none" w:color="auto" w:sz="0" w:space="0"/>
        </w:pBdr>
        <w:spacing w:line="600" w:lineRule="exact"/>
        <w:ind w:firstLine="643"/>
        <w:jc w:val="left"/>
        <w:rPr>
          <w:rFonts w:ascii="仿宋_GB2312" w:hAnsi="仿宋_GB2312" w:eastAsia="仿宋_GB2312" w:cs="仿宋_GB2312"/>
          <w:sz w:val="32"/>
          <w:szCs w:val="32"/>
        </w:rPr>
      </w:pPr>
      <w:r>
        <w:rPr>
          <w:rFonts w:hint="eastAsia" w:ascii="仿宋_GB2312" w:hAnsi="仿宋_GB2312" w:eastAsia="仿宋_GB2312" w:cs="仿宋_GB2312"/>
          <w:b/>
          <w:sz w:val="32"/>
          <w:szCs w:val="32"/>
        </w:rPr>
        <w:t>加强特色品牌建设。</w:t>
      </w:r>
      <w:r>
        <w:rPr>
          <w:rFonts w:hint="eastAsia" w:ascii="仿宋_GB2312" w:hAnsi="仿宋_GB2312" w:eastAsia="仿宋_GB2312" w:cs="仿宋_GB2312"/>
          <w:sz w:val="32"/>
          <w:szCs w:val="32"/>
        </w:rPr>
        <w:t>继续推进传统旅游节会，续办包括蒸汽机车旅游节、蒸汽机车摄影节、金湖山庄杏花节、亚洲拳王争霸赛、东三省毽球大赛、广场文化艺术节等节事活动。探索将商贸活动与文化节会相结合，新增一批主题突出、特色鲜明的高起点、高水准、前瞻性节事活动。</w:t>
      </w:r>
    </w:p>
    <w:p>
      <w:pPr>
        <w:pStyle w:val="2"/>
        <w:pBdr>
          <w:bottom w:val="none" w:color="auto" w:sz="0" w:space="0"/>
        </w:pBdr>
        <w:spacing w:line="600" w:lineRule="exact"/>
        <w:ind w:firstLine="643"/>
        <w:jc w:val="left"/>
        <w:rPr>
          <w:rFonts w:ascii="仿宋_GB2312" w:hAnsi="仿宋_GB2312" w:eastAsia="仿宋_GB2312" w:cs="仿宋_GB2312"/>
          <w:sz w:val="32"/>
          <w:szCs w:val="32"/>
        </w:rPr>
      </w:pPr>
      <w:r>
        <w:rPr>
          <w:rFonts w:hint="eastAsia" w:ascii="仿宋_GB2312" w:hAnsi="仿宋_GB2312" w:eastAsia="仿宋_GB2312" w:cs="仿宋_GB2312"/>
          <w:b/>
          <w:sz w:val="32"/>
          <w:szCs w:val="32"/>
        </w:rPr>
        <w:t>打造文旅消费中心。</w:t>
      </w:r>
      <w:r>
        <w:rPr>
          <w:rFonts w:hint="eastAsia" w:ascii="仿宋_GB2312" w:hAnsi="仿宋_GB2312" w:eastAsia="仿宋_GB2312" w:cs="仿宋_GB2312"/>
          <w:sz w:val="32"/>
          <w:szCs w:val="32"/>
        </w:rPr>
        <w:t>多渠道展现民间美食文化，挖掘地方美食资源，实现“吃在调兵”，传承“舌尖上的铁岭”美食文化内涵，加大地方美食的宣传推介力度。串联优质景区，实现“游在调兵”。依托</w:t>
      </w:r>
      <w:r>
        <w:rPr>
          <w:rFonts w:hint="eastAsia" w:ascii="仿宋_GB2312" w:hAnsi="仿宋_GB2312" w:eastAsia="仿宋_GB2312" w:cs="仿宋_GB2312"/>
          <w:bCs/>
          <w:sz w:val="32"/>
          <w:szCs w:val="32"/>
        </w:rPr>
        <w:t>仿古一条街、兀术古城一条街</w:t>
      </w:r>
      <w:r>
        <w:rPr>
          <w:rFonts w:hint="eastAsia" w:ascii="仿宋_GB2312" w:hAnsi="仿宋_GB2312" w:eastAsia="仿宋_GB2312" w:cs="仿宋_GB2312"/>
          <w:sz w:val="32"/>
          <w:szCs w:val="32"/>
        </w:rPr>
        <w:t>打造特色主题街区；以明月禅寺为核心，串联景城地标形成夜经济特色游线，创造多维消费场景，形成文旅商一体化发展架构。推进“旅游后备箱”发展模式，实现“购在调兵”。加快将农副产品、手工艺品、特色工业产品等转化“旅游后备箱”产品。发展“演出、康养、研学、赛事、特色小镇、田园综合体、农家乐”等休闲项目，实现“乐在调兵”。</w:t>
      </w:r>
    </w:p>
    <w:p>
      <w:pPr>
        <w:pStyle w:val="4"/>
        <w:spacing w:before="0" w:after="0" w:line="600" w:lineRule="exact"/>
        <w:rPr>
          <w:rFonts w:ascii="楷体_GB2312" w:hAnsi="楷体_GB2312" w:eastAsia="楷体_GB2312" w:cs="楷体_GB2312"/>
        </w:rPr>
      </w:pPr>
      <w:bookmarkStart w:id="179" w:name="_Toc50889070"/>
      <w:bookmarkStart w:id="180" w:name="_Toc50889164"/>
      <w:bookmarkStart w:id="181" w:name="_Toc50887028"/>
      <w:bookmarkStart w:id="182" w:name="_Toc58853108"/>
      <w:r>
        <w:rPr>
          <w:rFonts w:hint="eastAsia" w:ascii="楷体_GB2312" w:hAnsi="楷体_GB2312" w:eastAsia="楷体_GB2312" w:cs="楷体_GB2312"/>
        </w:rPr>
        <w:t>第三节 完善全域旅游基础设施</w:t>
      </w:r>
      <w:bookmarkEnd w:id="179"/>
      <w:bookmarkEnd w:id="180"/>
      <w:bookmarkEnd w:id="181"/>
      <w:bookmarkEnd w:id="182"/>
    </w:p>
    <w:p>
      <w:pPr>
        <w:spacing w:line="600" w:lineRule="exact"/>
        <w:ind w:firstLine="643"/>
        <w:rPr>
          <w:rFonts w:ascii="仿宋_GB2312" w:hAnsi="仿宋_GB2312" w:eastAsia="仿宋_GB2312" w:cs="仿宋_GB2312"/>
          <w:bCs/>
          <w:szCs w:val="32"/>
        </w:rPr>
      </w:pPr>
      <w:r>
        <w:rPr>
          <w:rFonts w:hint="eastAsia" w:ascii="仿宋_GB2312" w:hAnsi="仿宋_GB2312" w:eastAsia="仿宋_GB2312" w:cs="仿宋_GB2312"/>
          <w:b/>
          <w:bCs/>
          <w:szCs w:val="32"/>
        </w:rPr>
        <w:t>加快旅游公共服务体系建设。</w:t>
      </w:r>
      <w:r>
        <w:rPr>
          <w:rFonts w:hint="eastAsia" w:ascii="仿宋_GB2312" w:hAnsi="仿宋_GB2312" w:eastAsia="仿宋_GB2312" w:cs="仿宋_GB2312"/>
          <w:bCs/>
          <w:szCs w:val="32"/>
        </w:rPr>
        <w:t>完善旅游基础设施建设，重点抓好通景公路、标牌标识、旅游绿道、旅游厕所、停车场和景区环境等提升工作，完善游客接待、公共卫生及保健、市场监管、交通服务设施、应急救援和危机处置等旅游公共设施。全力推进旅游自驾服务中心、旅游集散服务中心、导游服务中心、信息数据中心和消费维权中心建设，提升旅游推广与营销水平。</w:t>
      </w:r>
    </w:p>
    <w:p>
      <w:pPr>
        <w:spacing w:line="600" w:lineRule="exact"/>
        <w:ind w:firstLine="643"/>
        <w:rPr>
          <w:rFonts w:ascii="仿宋_GB2312" w:hAnsi="仿宋_GB2312" w:eastAsia="仿宋_GB2312" w:cs="仿宋_GB2312"/>
          <w:szCs w:val="28"/>
        </w:rPr>
      </w:pPr>
      <w:r>
        <w:rPr>
          <w:rFonts w:hint="eastAsia" w:ascii="仿宋_GB2312" w:hAnsi="仿宋_GB2312" w:eastAsia="仿宋_GB2312" w:cs="仿宋_GB2312"/>
          <w:b/>
          <w:bCs/>
          <w:szCs w:val="32"/>
        </w:rPr>
        <w:t>推动全域旅游智慧化。</w:t>
      </w:r>
      <w:r>
        <w:rPr>
          <w:rFonts w:hint="eastAsia" w:ascii="仿宋_GB2312" w:hAnsi="仿宋_GB2312" w:eastAsia="仿宋_GB2312" w:cs="仿宋_GB2312"/>
          <w:bCs/>
          <w:szCs w:val="32"/>
        </w:rPr>
        <w:t>加快5G布局重点涉旅场所，提升旅游信息服务能力；建立旅游信息基础数据平台，收集、整理旅游统计数据，有效开展旅游统计分析、预测和监督；建立游客信息服务体系，利用移动互联网、云计算等新技术，实现“一机在手，畅游调兵”；建立旅游信息化营销体系，拓展新的旅游营销方式，开展针对性强的旅游营销。建立旅游信息化管理体系，实现旅游监管全覆盖。</w:t>
      </w:r>
    </w:p>
    <w:p>
      <w:pPr>
        <w:pStyle w:val="6"/>
        <w:spacing w:before="156" w:after="156"/>
        <w:jc w:val="center"/>
        <w:rPr>
          <w:rFonts w:ascii="楷体" w:hAnsi="楷体" w:eastAsia="楷体"/>
          <w:sz w:val="28"/>
        </w:rPr>
      </w:pPr>
      <w:r>
        <w:rPr>
          <w:rFonts w:hint="eastAsia" w:ascii="楷体" w:hAnsi="楷体" w:eastAsia="楷体"/>
          <w:sz w:val="28"/>
        </w:rPr>
        <w:t>专栏8 “十四五”时期调兵山市文化旅游体育重点工程</w:t>
      </w:r>
    </w:p>
    <w:p>
      <w:pPr>
        <w:pBdr>
          <w:top w:val="single" w:color="auto" w:sz="4" w:space="1"/>
          <w:left w:val="single" w:color="auto" w:sz="4" w:space="4"/>
          <w:bottom w:val="single" w:color="auto" w:sz="4" w:space="1"/>
          <w:right w:val="single" w:color="auto" w:sz="4" w:space="4"/>
        </w:pBdr>
        <w:spacing w:line="360" w:lineRule="auto"/>
        <w:ind w:firstLine="480"/>
        <w:rPr>
          <w:rFonts w:ascii="仿宋" w:hAnsi="仿宋"/>
          <w:b/>
          <w:szCs w:val="32"/>
        </w:rPr>
      </w:pPr>
      <w:r>
        <w:rPr>
          <w:rFonts w:hint="eastAsia" w:asciiTheme="minorEastAsia" w:hAnsiTheme="minorEastAsia" w:eastAsiaTheme="minorEastAsia"/>
          <w:sz w:val="24"/>
          <w:szCs w:val="24"/>
        </w:rPr>
        <w:t>1.兀术城历史文化街区工程；2.蒸汽机车文旅特色小镇工程；3.“蒸汽机车时代”体验观光之旅项目；4. 竹溪源温泉水世界康养运动休闲度假区；5. 西</w:t>
      </w:r>
      <w:r>
        <w:rPr>
          <w:rFonts w:asciiTheme="minorEastAsia" w:hAnsiTheme="minorEastAsia" w:eastAsiaTheme="minorEastAsia"/>
          <w:sz w:val="24"/>
          <w:szCs w:val="24"/>
        </w:rPr>
        <w:t>山国家山地运动公园</w:t>
      </w:r>
      <w:r>
        <w:rPr>
          <w:rFonts w:hint="eastAsia" w:asciiTheme="minorEastAsia" w:hAnsiTheme="minorEastAsia" w:eastAsiaTheme="minorEastAsia"/>
          <w:sz w:val="24"/>
          <w:szCs w:val="24"/>
        </w:rPr>
        <w:t>；6. 高力沟新农业蔬果公社项目（</w:t>
      </w:r>
      <w:r>
        <w:rPr>
          <w:rFonts w:asciiTheme="minorEastAsia" w:hAnsiTheme="minorEastAsia" w:eastAsiaTheme="minorEastAsia"/>
          <w:sz w:val="24"/>
          <w:szCs w:val="24"/>
        </w:rPr>
        <w:t>生态观光农业园</w:t>
      </w:r>
      <w:r>
        <w:rPr>
          <w:rFonts w:hint="eastAsia" w:asciiTheme="minorEastAsia" w:hAnsiTheme="minorEastAsia" w:eastAsiaTheme="minorEastAsia"/>
          <w:sz w:val="24"/>
          <w:szCs w:val="24"/>
        </w:rPr>
        <w:t>）；7. 公益性文体设施工程。包括数字图书馆建设项目、全民健身设施建设项目。8.调兵山平安驿关东民俗文化体验地工程。9.沙后所烈士纪念馆建设项目。</w:t>
      </w:r>
    </w:p>
    <w:p>
      <w:pPr>
        <w:widowControl/>
        <w:ind w:firstLine="0" w:firstLineChars="0"/>
        <w:jc w:val="left"/>
        <w:rPr>
          <w:rFonts w:ascii="Times New Roman" w:hAnsi="Times New Roman" w:eastAsia="仿宋_GB2312" w:cs="仿宋_GB2312"/>
          <w:szCs w:val="28"/>
        </w:rPr>
      </w:pPr>
      <w:r>
        <w:rPr>
          <w:rFonts w:ascii="Times New Roman" w:hAnsi="Times New Roman" w:eastAsia="仿宋_GB2312" w:cs="仿宋_GB2312"/>
          <w:szCs w:val="28"/>
        </w:rPr>
        <w:br w:type="page"/>
      </w:r>
    </w:p>
    <w:p>
      <w:pPr>
        <w:pStyle w:val="3"/>
        <w:spacing w:before="0" w:afterLines="10" w:line="600" w:lineRule="exact"/>
        <w:rPr>
          <w:rFonts w:ascii="黑体" w:hAnsi="黑体" w:cs="黑体"/>
          <w:b w:val="0"/>
          <w:bCs w:val="0"/>
          <w:sz w:val="32"/>
          <w:szCs w:val="32"/>
        </w:rPr>
      </w:pPr>
      <w:r>
        <w:fldChar w:fldCharType="begin"/>
      </w:r>
      <w:r>
        <w:instrText xml:space="preserve"> HYPERLINK \l "_Toc47623199" </w:instrText>
      </w:r>
      <w:r>
        <w:fldChar w:fldCharType="separate"/>
      </w:r>
      <w:bookmarkStart w:id="183" w:name="_Toc50887029"/>
      <w:bookmarkStart w:id="184" w:name="_Toc50889165"/>
      <w:bookmarkStart w:id="185" w:name="_Toc50889071"/>
      <w:bookmarkStart w:id="186" w:name="_Toc58853109"/>
      <w:r>
        <w:rPr>
          <w:rFonts w:hint="eastAsia" w:ascii="黑体" w:hAnsi="黑体" w:cs="黑体"/>
          <w:b w:val="0"/>
          <w:bCs w:val="0"/>
          <w:sz w:val="32"/>
          <w:szCs w:val="32"/>
        </w:rPr>
        <w:t>第九章 坚持协调发展，构建城乡一体化新</w:t>
      </w:r>
      <w:bookmarkEnd w:id="183"/>
      <w:bookmarkEnd w:id="184"/>
      <w:bookmarkEnd w:id="185"/>
      <w:r>
        <w:rPr>
          <w:rFonts w:hint="eastAsia" w:ascii="黑体" w:hAnsi="黑体" w:cs="黑体"/>
          <w:b w:val="0"/>
          <w:bCs w:val="0"/>
          <w:sz w:val="32"/>
          <w:szCs w:val="32"/>
        </w:rPr>
        <w:t>格局</w:t>
      </w:r>
      <w:bookmarkEnd w:id="186"/>
      <w:r>
        <w:rPr>
          <w:rFonts w:hint="eastAsia" w:ascii="黑体" w:hAnsi="黑体" w:cs="黑体"/>
          <w:b w:val="0"/>
          <w:bCs w:val="0"/>
          <w:sz w:val="32"/>
          <w:szCs w:val="32"/>
        </w:rPr>
        <w:fldChar w:fldCharType="end"/>
      </w:r>
    </w:p>
    <w:p>
      <w:pPr>
        <w:spacing w:line="600" w:lineRule="exact"/>
        <w:ind w:firstLine="640"/>
        <w:jc w:val="left"/>
        <w:rPr>
          <w:szCs w:val="32"/>
        </w:rPr>
      </w:pPr>
      <w:r>
        <w:rPr>
          <w:rFonts w:hint="eastAsia" w:ascii="仿宋_GB2312" w:hAnsi="仿宋_GB2312" w:eastAsia="仿宋_GB2312" w:cs="仿宋_GB2312"/>
        </w:rPr>
        <w:t>积极对接“两新一重”、乡村振兴等国家战略，推进新型城镇化和乡村振兴双轮驱动，以新型工业化和新型城镇化推进城乡一体化，做强中心城市。推进新型城镇化建设，补齐城镇建设基础设施、公共服务设施、环境卫生设施、产业平台设施等短板，</w:t>
      </w:r>
      <w:r>
        <w:rPr>
          <w:rFonts w:hint="eastAsia" w:ascii="仿宋_GB2312" w:hAnsi="仿宋_GB2312" w:eastAsia="仿宋_GB2312" w:cs="仿宋_GB2312"/>
          <w:bCs/>
          <w:szCs w:val="32"/>
        </w:rPr>
        <w:t>加快城乡基础设施互联互通，推动人才、土地、资本等要素在城乡间双向流动。</w:t>
      </w:r>
      <w:r>
        <w:rPr>
          <w:rFonts w:hint="eastAsia" w:ascii="仿宋_GB2312" w:hAnsi="仿宋_GB2312" w:eastAsia="仿宋_GB2312" w:cs="仿宋_GB2312"/>
          <w:bCs/>
        </w:rPr>
        <w:t>推动</w:t>
      </w:r>
      <w:r>
        <w:rPr>
          <w:rFonts w:hint="eastAsia" w:ascii="仿宋_GB2312" w:hAnsi="仿宋_GB2312" w:eastAsia="仿宋_GB2312" w:cs="仿宋_GB2312"/>
        </w:rPr>
        <w:t>农村人口向中心城市集聚，打造城乡一体化新城区。</w:t>
      </w:r>
    </w:p>
    <w:p>
      <w:pPr>
        <w:pStyle w:val="4"/>
        <w:numPr>
          <w:ilvl w:val="0"/>
          <w:numId w:val="2"/>
        </w:numPr>
        <w:spacing w:before="0" w:after="0" w:line="600" w:lineRule="exact"/>
        <w:rPr>
          <w:rFonts w:ascii="楷体_GB2312" w:hAnsi="楷体_GB2312" w:eastAsia="楷体_GB2312" w:cs="楷体_GB2312"/>
        </w:rPr>
      </w:pPr>
      <w:r>
        <w:fldChar w:fldCharType="begin"/>
      </w:r>
      <w:r>
        <w:instrText xml:space="preserve"> HYPERLINK \l "_Toc47623200" </w:instrText>
      </w:r>
      <w:r>
        <w:fldChar w:fldCharType="separate"/>
      </w:r>
      <w:bookmarkStart w:id="187" w:name="_Toc50887031"/>
      <w:bookmarkStart w:id="188" w:name="_Toc50889167"/>
      <w:bookmarkStart w:id="189" w:name="_Toc50889073"/>
      <w:bookmarkStart w:id="190" w:name="_Toc58853110"/>
      <w:r>
        <w:rPr>
          <w:rFonts w:hint="eastAsia" w:ascii="楷体_GB2312" w:hAnsi="楷体_GB2312" w:eastAsia="楷体_GB2312" w:cs="楷体_GB2312"/>
        </w:rPr>
        <w:t>加快推进</w:t>
      </w:r>
      <w:bookmarkEnd w:id="187"/>
      <w:bookmarkEnd w:id="188"/>
      <w:bookmarkEnd w:id="189"/>
      <w:r>
        <w:rPr>
          <w:rFonts w:hint="eastAsia" w:ascii="楷体_GB2312" w:hAnsi="楷体_GB2312" w:eastAsia="楷体_GB2312" w:cs="楷体_GB2312"/>
        </w:rPr>
        <w:t>绿色宜居城市建设</w:t>
      </w:r>
      <w:bookmarkEnd w:id="190"/>
      <w:r>
        <w:rPr>
          <w:rFonts w:hint="eastAsia" w:ascii="楷体_GB2312" w:hAnsi="楷体_GB2312" w:eastAsia="楷体_GB2312" w:cs="楷体_GB2312"/>
        </w:rPr>
        <w:fldChar w:fldCharType="end"/>
      </w:r>
    </w:p>
    <w:p>
      <w:pPr>
        <w:spacing w:line="600" w:lineRule="exact"/>
        <w:ind w:firstLine="643"/>
        <w:rPr>
          <w:rFonts w:ascii="仿宋_GB2312" w:hAnsi="仿宋_GB2312" w:eastAsia="仿宋_GB2312" w:cs="仿宋_GB2312"/>
          <w:bCs/>
          <w:szCs w:val="32"/>
        </w:rPr>
      </w:pPr>
      <w:r>
        <w:rPr>
          <w:rFonts w:hint="eastAsia" w:ascii="仿宋_GB2312" w:hAnsi="仿宋_GB2312" w:eastAsia="仿宋_GB2312" w:cs="仿宋_GB2312"/>
          <w:b/>
          <w:szCs w:val="32"/>
        </w:rPr>
        <w:t>加快城区城市更新。</w:t>
      </w:r>
      <w:r>
        <w:rPr>
          <w:rFonts w:hint="eastAsia" w:ascii="仿宋_GB2312" w:hAnsi="仿宋_GB2312" w:eastAsia="仿宋_GB2312" w:cs="仿宋_GB2312"/>
          <w:bCs/>
          <w:szCs w:val="32"/>
        </w:rPr>
        <w:t>建立中心城区现状城市建设基础空间数据库，落实“城市双修”和城市更新理念，修复城市自然环境，修复城市设施、空间环境、景观风貌，加快编制《老城区城市更新规划》。推动开展城市更新与城市修补行动，推进城市中心、景观视廊、天际线、重要街墙、主要门户空间的更新整治。提升城市绿视率，做好城市干线沿线裸露地面覆绿。</w:t>
      </w:r>
    </w:p>
    <w:p>
      <w:pPr>
        <w:spacing w:line="600" w:lineRule="exact"/>
        <w:ind w:firstLine="643"/>
        <w:rPr>
          <w:rFonts w:ascii="仿宋_GB2312" w:hAnsi="仿宋_GB2312" w:eastAsia="仿宋_GB2312" w:cs="仿宋_GB2312"/>
          <w:bCs/>
          <w:szCs w:val="32"/>
        </w:rPr>
      </w:pPr>
      <w:r>
        <w:rPr>
          <w:rFonts w:hint="eastAsia" w:ascii="仿宋_GB2312" w:hAnsi="仿宋_GB2312" w:eastAsia="仿宋_GB2312" w:cs="仿宋_GB2312"/>
          <w:b/>
          <w:bCs/>
          <w:szCs w:val="32"/>
        </w:rPr>
        <w:t>大力推进老旧小区改造。</w:t>
      </w:r>
      <w:r>
        <w:rPr>
          <w:rFonts w:hint="eastAsia" w:ascii="仿宋_GB2312" w:hAnsi="仿宋_GB2312" w:eastAsia="仿宋_GB2312" w:cs="仿宋_GB2312"/>
          <w:bCs/>
          <w:szCs w:val="32"/>
        </w:rPr>
        <w:t xml:space="preserve">按照基础类、完善类、提升类国家标准，对辖区内2005年前老旧小区分类施策，合理制定改造方案。继续推进老旧小区加装电梯专项工作。重点完善小区配套和市政基础设施，提升社区养老、托育、医疗等公共服务设施水平。 </w:t>
      </w:r>
    </w:p>
    <w:p>
      <w:pPr>
        <w:widowControl/>
        <w:spacing w:line="600" w:lineRule="exact"/>
        <w:ind w:firstLine="643"/>
        <w:jc w:val="left"/>
        <w:rPr>
          <w:rFonts w:ascii="仿宋_GB2312" w:hAnsi="仿宋_GB2312" w:eastAsia="仿宋_GB2312" w:cs="仿宋_GB2312"/>
          <w:kern w:val="0"/>
          <w:szCs w:val="32"/>
        </w:rPr>
      </w:pPr>
      <w:r>
        <w:rPr>
          <w:rFonts w:hint="eastAsia" w:ascii="仿宋_GB2312" w:hAnsi="仿宋_GB2312" w:eastAsia="仿宋_GB2312" w:cs="仿宋_GB2312"/>
          <w:b/>
          <w:bCs/>
          <w:szCs w:val="32"/>
        </w:rPr>
        <w:t>消灭“棚户区”。</w:t>
      </w:r>
      <w:r>
        <w:rPr>
          <w:rFonts w:hint="eastAsia" w:ascii="仿宋_GB2312" w:hAnsi="仿宋_GB2312" w:eastAsia="仿宋_GB2312" w:cs="仿宋_GB2312"/>
          <w:bCs/>
          <w:szCs w:val="32"/>
        </w:rPr>
        <w:t>继续推进现有城镇棚户区、城中村改造和城市危房改造，基本解决困难群体基本住房需求。</w:t>
      </w:r>
      <w:r>
        <w:rPr>
          <w:rFonts w:hint="eastAsia" w:ascii="仿宋_GB2312" w:hAnsi="仿宋_GB2312" w:eastAsia="仿宋_GB2312" w:cs="仿宋_GB2312"/>
          <w:kern w:val="0"/>
          <w:szCs w:val="32"/>
        </w:rPr>
        <w:t>彻底清除城中村、棚户区。鼓励社会资本以 PPP 形式参与开发建设，完善城中村和棚户区拆迁安置补偿政策。</w:t>
      </w:r>
    </w:p>
    <w:p>
      <w:pPr>
        <w:spacing w:line="600" w:lineRule="exact"/>
        <w:ind w:firstLine="643"/>
        <w:rPr>
          <w:rFonts w:ascii="仿宋_GB2312" w:hAnsi="仿宋_GB2312" w:eastAsia="仿宋_GB2312" w:cs="仿宋_GB2312"/>
        </w:rPr>
      </w:pPr>
      <w:r>
        <w:rPr>
          <w:rFonts w:hint="eastAsia" w:ascii="仿宋_GB2312" w:hAnsi="仿宋_GB2312" w:eastAsia="仿宋_GB2312" w:cs="仿宋_GB2312"/>
          <w:b/>
        </w:rPr>
        <w:t>加强城市基础设施建设。</w:t>
      </w:r>
      <w:r>
        <w:rPr>
          <w:rFonts w:hint="eastAsia" w:ascii="仿宋_GB2312" w:hAnsi="仿宋_GB2312" w:eastAsia="仿宋_GB2312" w:cs="仿宋_GB2312"/>
        </w:rPr>
        <w:t>完成一批桥梁、道路及背街小巷改造建设。加强对城市供水、污水、雨水、燃气、供热等各类地下管网的维修、建设和改造。改善城市排水，积水直排新开河、暗渠。推进地下综合线（管）廊建设。开展热电联产集中供热及清洁能源集中供热，推进燃煤锅炉集中改造。主城区全部改为集中供热，周边地区为天然气锅炉供热。加大力度推进天然气供气置换工程。重点改造老旧燃气管道，实现燃气管网全覆盖。实施一批绿地、广场改造建设工程。实施新开河治理工程，继续巩固黑臭水体整治成果，补充完善停车场等交通基础设施，进一步完善市政服务功能，提升景观绿化建设。</w:t>
      </w:r>
    </w:p>
    <w:p>
      <w:pPr>
        <w:spacing w:line="600" w:lineRule="exact"/>
        <w:ind w:firstLine="645" w:firstLineChars="0"/>
        <w:rPr>
          <w:rFonts w:ascii="仿宋_GB2312" w:hAnsi="仿宋_GB2312" w:eastAsia="仿宋_GB2312" w:cs="仿宋_GB2312"/>
          <w:b/>
          <w:bCs/>
          <w:kern w:val="0"/>
          <w:szCs w:val="32"/>
        </w:rPr>
      </w:pPr>
      <w:r>
        <w:rPr>
          <w:rStyle w:val="34"/>
          <w:rFonts w:hint="eastAsia" w:ascii="仿宋_GB2312" w:hAnsi="仿宋_GB2312" w:eastAsia="仿宋_GB2312" w:cs="仿宋_GB2312"/>
          <w:b/>
          <w:szCs w:val="32"/>
        </w:rPr>
        <w:t>全面加强城市管理水平。</w:t>
      </w:r>
      <w:r>
        <w:rPr>
          <w:rFonts w:hint="eastAsia" w:ascii="仿宋_GB2312" w:hAnsi="仿宋_GB2312" w:eastAsia="仿宋_GB2312" w:cs="仿宋_GB2312"/>
          <w:szCs w:val="32"/>
        </w:rPr>
        <w:t>搭建城市管理综合服务体系</w:t>
      </w:r>
      <w:r>
        <w:rPr>
          <w:rFonts w:hint="eastAsia" w:ascii="仿宋_GB2312" w:hAnsi="仿宋_GB2312" w:eastAsia="仿宋_GB2312" w:cs="仿宋_GB2312"/>
          <w:bCs/>
          <w:szCs w:val="32"/>
        </w:rPr>
        <w:t>，</w:t>
      </w:r>
      <w:r>
        <w:rPr>
          <w:rFonts w:hint="eastAsia" w:ascii="仿宋_GB2312" w:hAnsi="仿宋_GB2312" w:eastAsia="仿宋_GB2312" w:cs="仿宋_GB2312"/>
          <w:szCs w:val="32"/>
        </w:rPr>
        <w:t>结合调兵山市供电、供水、供气、物业服务等公共服务体系，强化服务职能，巩固城市综合整治成果，在承接铁法能源“三供一业”基础上，进一步完善城市建设和管理职能，提高城市综合治理水平</w:t>
      </w:r>
      <w:r>
        <w:rPr>
          <w:rFonts w:hint="eastAsia" w:ascii="仿宋_GB2312" w:hAnsi="仿宋_GB2312" w:eastAsia="仿宋_GB2312" w:cs="仿宋_GB2312"/>
          <w:b/>
          <w:bCs/>
          <w:kern w:val="0"/>
          <w:szCs w:val="32"/>
        </w:rPr>
        <w:t>。</w:t>
      </w:r>
      <w:r>
        <w:rPr>
          <w:rFonts w:hint="eastAsia" w:ascii="仿宋_GB2312" w:hAnsi="仿宋_GB2312" w:eastAsia="仿宋_GB2312" w:cs="仿宋_GB2312"/>
          <w:kern w:val="0"/>
          <w:szCs w:val="32"/>
        </w:rPr>
        <w:t>推进城市网格化管理。</w:t>
      </w:r>
    </w:p>
    <w:p>
      <w:pPr>
        <w:pStyle w:val="4"/>
        <w:spacing w:before="0" w:after="0" w:line="600" w:lineRule="exact"/>
        <w:rPr>
          <w:rFonts w:ascii="楷体_GB2312" w:hAnsi="楷体_GB2312" w:eastAsia="楷体_GB2312" w:cs="楷体_GB2312"/>
        </w:rPr>
      </w:pPr>
      <w:r>
        <w:fldChar w:fldCharType="begin"/>
      </w:r>
      <w:r>
        <w:instrText xml:space="preserve"> HYPERLINK \l "_Toc47623201" </w:instrText>
      </w:r>
      <w:r>
        <w:fldChar w:fldCharType="separate"/>
      </w:r>
      <w:bookmarkStart w:id="191" w:name="_Toc50887032"/>
      <w:bookmarkStart w:id="192" w:name="_Toc50889168"/>
      <w:bookmarkStart w:id="193" w:name="_Toc50889074"/>
      <w:bookmarkStart w:id="194" w:name="_Toc58853111"/>
      <w:r>
        <w:rPr>
          <w:rFonts w:hint="eastAsia" w:ascii="楷体_GB2312" w:hAnsi="楷体_GB2312" w:eastAsia="楷体_GB2312" w:cs="楷体_GB2312"/>
        </w:rPr>
        <w:t>第二节 全面</w:t>
      </w:r>
      <w:bookmarkEnd w:id="191"/>
      <w:bookmarkEnd w:id="192"/>
      <w:bookmarkEnd w:id="193"/>
      <w:r>
        <w:rPr>
          <w:rFonts w:hint="eastAsia" w:ascii="楷体_GB2312" w:hAnsi="楷体_GB2312" w:eastAsia="楷体_GB2312" w:cs="楷体_GB2312"/>
        </w:rPr>
        <w:t>推进新型城镇化建设</w:t>
      </w:r>
      <w:bookmarkEnd w:id="194"/>
      <w:r>
        <w:rPr>
          <w:rFonts w:hint="eastAsia" w:ascii="楷体_GB2312" w:hAnsi="楷体_GB2312" w:eastAsia="楷体_GB2312" w:cs="楷体_GB2312"/>
        </w:rPr>
        <w:tab/>
      </w:r>
      <w:r>
        <w:rPr>
          <w:rFonts w:hint="eastAsia" w:ascii="楷体_GB2312" w:hAnsi="楷体_GB2312" w:eastAsia="楷体_GB2312" w:cs="楷体_GB2312"/>
        </w:rPr>
        <w:fldChar w:fldCharType="end"/>
      </w:r>
    </w:p>
    <w:p>
      <w:pPr>
        <w:widowControl/>
        <w:spacing w:line="600" w:lineRule="exact"/>
        <w:ind w:firstLine="643"/>
        <w:jc w:val="left"/>
        <w:rPr>
          <w:rFonts w:ascii="仿宋_GB2312" w:hAnsi="仿宋_GB2312" w:eastAsia="仿宋_GB2312" w:cs="仿宋_GB2312"/>
          <w:szCs w:val="32"/>
        </w:rPr>
      </w:pPr>
      <w:r>
        <w:rPr>
          <w:rFonts w:hint="eastAsia" w:ascii="仿宋_GB2312" w:hAnsi="仿宋_GB2312" w:eastAsia="仿宋_GB2312" w:cs="仿宋_GB2312"/>
          <w:b/>
          <w:szCs w:val="32"/>
        </w:rPr>
        <w:t>推动新型城镇化补短板</w:t>
      </w:r>
      <w:r>
        <w:rPr>
          <w:rFonts w:hint="eastAsia" w:ascii="仿宋_GB2312" w:hAnsi="仿宋_GB2312" w:eastAsia="仿宋_GB2312" w:cs="仿宋_GB2312"/>
          <w:szCs w:val="32"/>
        </w:rPr>
        <w:t>。围绕独立工矿区改造与资源型城市转型，重点解决居民异地搬迁安置区、独立工矿区基础设施和公共服务设施提标升级，加强大明、晓明、晓南镇镇区建设。围绕公共服务设施提标扩面，优化医疗卫生设施、教育设施、养老托育设施、文旅体育设施、社会福利设施和社区综合服务设施。围绕环境卫生设施提级扩能，完善垃圾无害化资源化处理设施、污水集中处理设施和镇域公共厕所。围绕市政公用设施提挡升级，推进市政交通设施、市政管网设施、配送投递设施、老旧小区更新改造和镇域智慧化改造。围绕产业培育设施提质增效，完善产业平台配套设施、冷链物流设施和农贸市场。</w:t>
      </w:r>
    </w:p>
    <w:p>
      <w:pPr>
        <w:spacing w:line="600" w:lineRule="exact"/>
        <w:ind w:firstLine="645" w:firstLineChars="0"/>
        <w:rPr>
          <w:rFonts w:ascii="仿宋_GB2312" w:hAnsi="仿宋_GB2312" w:eastAsia="仿宋_GB2312" w:cs="仿宋_GB2312"/>
          <w:bCs/>
          <w:kern w:val="0"/>
          <w:szCs w:val="32"/>
        </w:rPr>
      </w:pPr>
      <w:r>
        <w:rPr>
          <w:rFonts w:hint="eastAsia" w:ascii="仿宋_GB2312" w:hAnsi="仿宋_GB2312" w:eastAsia="仿宋_GB2312" w:cs="仿宋_GB2312"/>
          <w:b/>
          <w:bCs/>
          <w:kern w:val="0"/>
          <w:szCs w:val="32"/>
        </w:rPr>
        <w:t>分类施策实施小城镇建设。</w:t>
      </w:r>
      <w:r>
        <w:rPr>
          <w:rFonts w:hint="eastAsia" w:ascii="仿宋_GB2312" w:hAnsi="仿宋_GB2312" w:eastAsia="仿宋_GB2312" w:cs="仿宋_GB2312"/>
          <w:kern w:val="0"/>
          <w:szCs w:val="23"/>
        </w:rPr>
        <w:t>强化县城综合服务能力，把乡镇建成服务农民的区域中心。</w:t>
      </w:r>
      <w:r>
        <w:rPr>
          <w:rFonts w:hint="eastAsia" w:ascii="仿宋_GB2312" w:hAnsi="仿宋_GB2312" w:eastAsia="仿宋_GB2312" w:cs="仿宋_GB2312"/>
          <w:bCs/>
          <w:kern w:val="0"/>
          <w:szCs w:val="32"/>
        </w:rPr>
        <w:t>多措并举建设特色小城镇，推进中心镇和乡村建设，推动城镇风貌和谐统一。推进晓南镇独立工矿区改造。结合晓南镇独立工矿区改造和国土全域土地综合整治试点，进一步修复生态环境，完善乡镇基础设施和道路建设，美化绿化村屯环境，推进道路基础设施通达性和便利性。做好晓明镇蒸汽机车博物馆和影视基地周边道路基础设施建设和景观绿化。</w:t>
      </w:r>
    </w:p>
    <w:p>
      <w:pPr>
        <w:spacing w:line="600" w:lineRule="exact"/>
        <w:ind w:firstLine="645" w:firstLineChars="0"/>
        <w:rPr>
          <w:rFonts w:ascii="仿宋_GB2312" w:hAnsi="仿宋_GB2312" w:eastAsia="仿宋_GB2312" w:cs="仿宋_GB2312"/>
          <w:bCs/>
          <w:kern w:val="0"/>
          <w:szCs w:val="32"/>
        </w:rPr>
      </w:pPr>
      <w:r>
        <w:rPr>
          <w:rFonts w:hint="eastAsia" w:ascii="仿宋_GB2312" w:hAnsi="仿宋_GB2312" w:eastAsia="仿宋_GB2312" w:cs="仿宋_GB2312"/>
          <w:b/>
          <w:bCs/>
          <w:kern w:val="0"/>
          <w:szCs w:val="32"/>
        </w:rPr>
        <w:t>统筹推进新开河流域综合整治。</w:t>
      </w:r>
      <w:r>
        <w:rPr>
          <w:rFonts w:hint="eastAsia" w:ascii="仿宋_GB2312" w:hAnsi="仿宋_GB2312" w:eastAsia="仿宋_GB2312" w:cs="仿宋_GB2312"/>
          <w:bCs/>
          <w:kern w:val="0"/>
          <w:szCs w:val="32"/>
        </w:rPr>
        <w:t>依托新开河流域综合整治，贯穿调兵山市、晓明镇、大明镇、东调村、西调村、尚三家子村、晓明村、沙后所村，</w:t>
      </w:r>
      <w:r>
        <w:rPr>
          <w:rFonts w:hint="eastAsia" w:ascii="仿宋_GB2312" w:hAnsi="仿宋_GB2312" w:eastAsia="仿宋_GB2312" w:cs="仿宋_GB2312"/>
          <w:kern w:val="0"/>
          <w:szCs w:val="32"/>
        </w:rPr>
        <w:t>包括河道截污工程、河底清淤及底泥处置、生态护坡工程、人工湿地建设、健身步道建设、沿岸绿化景观建设等</w:t>
      </w:r>
      <w:r>
        <w:rPr>
          <w:rFonts w:hint="eastAsia" w:ascii="仿宋_GB2312" w:hAnsi="仿宋_GB2312" w:eastAsia="仿宋_GB2312" w:cs="仿宋_GB2312"/>
          <w:bCs/>
          <w:kern w:val="0"/>
          <w:szCs w:val="32"/>
        </w:rPr>
        <w:t>，实现水-岸-城一体城市景观，解决河水污染问题，提高城市防洪能力，提升城市形象和城市品位。</w:t>
      </w:r>
    </w:p>
    <w:p>
      <w:pPr>
        <w:pStyle w:val="4"/>
        <w:spacing w:before="0" w:after="0" w:line="600" w:lineRule="exact"/>
        <w:rPr>
          <w:rFonts w:ascii="楷体_GB2312" w:hAnsi="楷体_GB2312" w:eastAsia="楷体_GB2312" w:cs="楷体_GB2312"/>
        </w:rPr>
      </w:pPr>
      <w:bookmarkStart w:id="195" w:name="_Toc58853112"/>
      <w:r>
        <w:rPr>
          <w:rFonts w:hint="eastAsia" w:ascii="楷体_GB2312" w:hAnsi="楷体_GB2312" w:eastAsia="楷体_GB2312" w:cs="楷体_GB2312"/>
        </w:rPr>
        <w:t>第三节 实施乡村建设行动</w:t>
      </w:r>
      <w:bookmarkEnd w:id="195"/>
    </w:p>
    <w:p>
      <w:pPr>
        <w:widowControl/>
        <w:spacing w:line="600" w:lineRule="exact"/>
        <w:ind w:firstLine="643"/>
        <w:rPr>
          <w:rFonts w:ascii="仿宋_GB2312" w:hAnsi="仿宋_GB2312" w:eastAsia="仿宋_GB2312" w:cs="仿宋_GB2312"/>
          <w:kern w:val="0"/>
          <w:szCs w:val="32"/>
        </w:rPr>
      </w:pPr>
      <w:r>
        <w:rPr>
          <w:rFonts w:hint="eastAsia" w:ascii="仿宋_GB2312" w:hAnsi="仿宋_GB2312" w:eastAsia="仿宋_GB2312" w:cs="仿宋_GB2312"/>
          <w:b/>
          <w:bCs/>
          <w:kern w:val="0"/>
          <w:szCs w:val="32"/>
        </w:rPr>
        <w:t>实施乡村建设行动。</w:t>
      </w:r>
      <w:r>
        <w:rPr>
          <w:rFonts w:hint="eastAsia" w:ascii="仿宋_GB2312" w:hAnsi="仿宋_GB2312" w:eastAsia="仿宋_GB2312" w:cs="仿宋_GB2312"/>
          <w:kern w:val="0"/>
          <w:szCs w:val="32"/>
        </w:rPr>
        <w:t>把乡村建设摆在社会主义现代化建设的重要位置。统筹县域城镇和村庄规划建设，保护传统村落和乡村风貌。完善乡村水、电、路、气、通信、广播电视、物流等基础设施，提升农房建设质量。因地制宜推进农村改厕、生活垃圾处理和污水治理，实施河湖水系综合整治，改善农村人居环境。提高农民科技文化素质，推动乡村人才振兴。</w:t>
      </w:r>
    </w:p>
    <w:p>
      <w:pPr>
        <w:widowControl/>
        <w:spacing w:line="600" w:lineRule="exact"/>
        <w:ind w:firstLine="643"/>
        <w:rPr>
          <w:rFonts w:ascii="仿宋_GB2312" w:hAnsi="仿宋_GB2312" w:eastAsia="仿宋_GB2312" w:cs="仿宋_GB2312"/>
          <w:b/>
          <w:szCs w:val="32"/>
          <w:shd w:val="clear" w:color="auto" w:fill="FFFFFF"/>
        </w:rPr>
      </w:pPr>
      <w:r>
        <w:rPr>
          <w:rFonts w:hint="eastAsia" w:ascii="仿宋_GB2312" w:hAnsi="仿宋_GB2312" w:eastAsia="仿宋_GB2312" w:cs="仿宋_GB2312"/>
          <w:b/>
          <w:szCs w:val="32"/>
          <w:shd w:val="clear" w:color="auto" w:fill="FFFFFF"/>
        </w:rPr>
        <w:t>推动数字农业农村建设。</w:t>
      </w:r>
      <w:r>
        <w:rPr>
          <w:rFonts w:hint="eastAsia" w:ascii="仿宋_GB2312" w:hAnsi="仿宋_GB2312" w:eastAsia="仿宋_GB2312" w:cs="仿宋_GB2312"/>
          <w:kern w:val="0"/>
          <w:szCs w:val="32"/>
        </w:rPr>
        <w:t>加快推进乡村数字化基础设施建设。建设基础通信网络，包括光纤宽带、推进5G无线网络、农村广播电视网络建设。建设农业信息服务基础设施，推动农村智慧水利、智慧交通、智能电网、智慧农业等基础设施建设。建设智慧流通体系，实施“互联网+农产品出村进城工程”，完善提升乡村快递和邮政网点覆盖率，建设现代农村流通服务体系，建设农村便利店数字化，培育农村电商品牌。</w:t>
      </w:r>
    </w:p>
    <w:p>
      <w:pPr>
        <w:spacing w:line="600" w:lineRule="exact"/>
        <w:ind w:firstLine="643"/>
        <w:rPr>
          <w:rFonts w:ascii="仿宋_GB2312" w:hAnsi="仿宋_GB2312" w:eastAsia="仿宋_GB2312" w:cs="仿宋_GB2312"/>
          <w:szCs w:val="32"/>
          <w:shd w:val="clear" w:color="auto" w:fill="FFFFFF"/>
        </w:rPr>
      </w:pPr>
      <w:r>
        <w:rPr>
          <w:rFonts w:hint="eastAsia" w:ascii="仿宋_GB2312" w:hAnsi="仿宋_GB2312" w:eastAsia="仿宋_GB2312" w:cs="仿宋_GB2312"/>
          <w:b/>
          <w:szCs w:val="32"/>
        </w:rPr>
        <w:t>推进美丽乡村建设</w:t>
      </w:r>
      <w:r>
        <w:rPr>
          <w:rFonts w:hint="eastAsia" w:ascii="仿宋_GB2312" w:hAnsi="仿宋_GB2312" w:eastAsia="仿宋_GB2312" w:cs="仿宋_GB2312"/>
          <w:szCs w:val="32"/>
        </w:rPr>
        <w:t>。</w:t>
      </w:r>
      <w:r>
        <w:rPr>
          <w:rFonts w:hint="eastAsia" w:ascii="仿宋_GB2312" w:hAnsi="仿宋_GB2312" w:eastAsia="仿宋_GB2312" w:cs="仿宋_GB2312"/>
          <w:szCs w:val="32"/>
          <w:shd w:val="clear" w:color="auto" w:fill="FFFFFF"/>
        </w:rPr>
        <w:t>加快</w:t>
      </w:r>
      <w:r>
        <w:rPr>
          <w:rFonts w:hint="eastAsia" w:ascii="仿宋_GB2312" w:hAnsi="仿宋_GB2312" w:eastAsia="仿宋_GB2312" w:cs="仿宋_GB2312"/>
          <w:szCs w:val="32"/>
        </w:rPr>
        <w:t>腰堡村、小明村争创省级美丽乡村</w:t>
      </w:r>
      <w:r>
        <w:rPr>
          <w:rFonts w:hint="eastAsia" w:ascii="仿宋_GB2312" w:hAnsi="仿宋_GB2312" w:eastAsia="仿宋_GB2312" w:cs="仿宋_GB2312"/>
          <w:szCs w:val="32"/>
          <w:shd w:val="clear" w:color="auto" w:fill="FFFFFF"/>
        </w:rPr>
        <w:t>。绿化与基础设施同步规划设计，统筹施工建设。在村庄房前屋后、河旁湖旁、渠边路边、零星闲置地等边角空地，拆违还绿、留白建绿、见空插绿，努力实现以绿治脏、以绿净村、以绿美村。全面打造“一村一景观、一村一幅画”美丽乡村建设。</w:t>
      </w:r>
    </w:p>
    <w:p>
      <w:pPr>
        <w:pStyle w:val="6"/>
        <w:spacing w:before="156" w:after="156"/>
        <w:jc w:val="center"/>
        <w:rPr>
          <w:rFonts w:ascii="楷体" w:hAnsi="楷体" w:eastAsia="楷体"/>
          <w:sz w:val="28"/>
        </w:rPr>
      </w:pPr>
      <w:r>
        <w:rPr>
          <w:rFonts w:hint="eastAsia" w:ascii="楷体" w:hAnsi="楷体" w:eastAsia="楷体"/>
          <w:sz w:val="28"/>
        </w:rPr>
        <w:t>专栏9</w:t>
      </w:r>
      <w:r>
        <w:rPr>
          <w:rFonts w:ascii="楷体" w:hAnsi="楷体" w:eastAsia="楷体"/>
          <w:sz w:val="28"/>
        </w:rPr>
        <w:t xml:space="preserve">  </w:t>
      </w:r>
      <w:r>
        <w:rPr>
          <w:rFonts w:hint="eastAsia" w:ascii="楷体" w:hAnsi="楷体" w:eastAsia="楷体"/>
          <w:sz w:val="28"/>
        </w:rPr>
        <w:t>“十四五”时期调兵山市城乡建设重点工程</w:t>
      </w:r>
    </w:p>
    <w:p>
      <w:pPr>
        <w:pStyle w:val="40"/>
        <w:pBdr>
          <w:top w:val="single" w:color="auto" w:sz="4" w:space="1"/>
          <w:left w:val="single" w:color="auto" w:sz="4" w:space="4"/>
          <w:bottom w:val="single" w:color="auto" w:sz="4" w:space="1"/>
          <w:right w:val="single" w:color="auto" w:sz="4" w:space="4"/>
        </w:pBdr>
        <w:spacing w:line="360" w:lineRule="auto"/>
        <w:ind w:firstLine="480"/>
        <w:rPr>
          <w:rFonts w:ascii="宋体" w:hAnsi="宋体" w:eastAsia="宋体"/>
          <w:sz w:val="21"/>
          <w:szCs w:val="21"/>
        </w:rPr>
      </w:pPr>
      <w:r>
        <w:rPr>
          <w:rFonts w:hint="eastAsia" w:ascii="宋体" w:hAnsi="宋体" w:eastAsia="宋体"/>
          <w:sz w:val="24"/>
          <w:szCs w:val="21"/>
        </w:rPr>
        <w:t>1.道路、背街小巷改造工程；2.老旧小区改造工程。3.棚户区、城中村改造工程；4.绿地、广场、庭院改造工程；5.新开河治理工程；6.新增公共绿地13.61公顷，提高建成区人均公共绿地至9.11平方米。曙光街行道树及南段西侧绿化，南五路东段、西段绿化，树穴围挡改造，公园、广场绿地补植，国省干道绿化。</w:t>
      </w:r>
    </w:p>
    <w:p>
      <w:pPr>
        <w:widowControl/>
        <w:ind w:firstLine="0" w:firstLineChars="0"/>
        <w:jc w:val="left"/>
        <w:rPr>
          <w:rFonts w:eastAsia="黑体"/>
          <w:b/>
          <w:bCs/>
          <w:kern w:val="44"/>
          <w:sz w:val="30"/>
          <w:szCs w:val="44"/>
        </w:rPr>
      </w:pPr>
      <w:r>
        <w:br w:type="page"/>
      </w:r>
    </w:p>
    <w:p>
      <w:pPr>
        <w:pStyle w:val="3"/>
        <w:keepNext w:val="0"/>
        <w:keepLines w:val="0"/>
        <w:topLinePunct/>
        <w:spacing w:before="0" w:after="0" w:line="360" w:lineRule="auto"/>
        <w:rPr>
          <w:rFonts w:ascii="Times New Roman" w:hAnsi="Times New Roman" w:cs="Times New Roman"/>
          <w:sz w:val="36"/>
          <w:szCs w:val="32"/>
        </w:rPr>
      </w:pPr>
      <w:r>
        <w:fldChar w:fldCharType="begin"/>
      </w:r>
      <w:r>
        <w:instrText xml:space="preserve"> HYPERLINK \l "_Toc47623203" </w:instrText>
      </w:r>
      <w:r>
        <w:fldChar w:fldCharType="separate"/>
      </w:r>
      <w:bookmarkStart w:id="196" w:name="_Toc50889170"/>
      <w:bookmarkStart w:id="197" w:name="_Toc50887034"/>
      <w:bookmarkStart w:id="198" w:name="_Toc50889076"/>
      <w:bookmarkStart w:id="199" w:name="_Toc58853113"/>
      <w:r>
        <w:rPr>
          <w:rFonts w:hint="eastAsia" w:ascii="黑体" w:hAnsi="黑体" w:cs="黑体"/>
          <w:b w:val="0"/>
          <w:bCs w:val="0"/>
          <w:sz w:val="32"/>
          <w:szCs w:val="32"/>
        </w:rPr>
        <w:t>第十章 坚持全面绿色发展，建设</w:t>
      </w:r>
      <w:bookmarkEnd w:id="196"/>
      <w:bookmarkEnd w:id="197"/>
      <w:bookmarkEnd w:id="198"/>
      <w:r>
        <w:rPr>
          <w:rFonts w:hint="eastAsia" w:ascii="黑体" w:hAnsi="黑体" w:cs="黑体"/>
          <w:b w:val="0"/>
          <w:bCs w:val="0"/>
          <w:sz w:val="32"/>
          <w:szCs w:val="32"/>
        </w:rPr>
        <w:t>生态园林城市</w:t>
      </w:r>
      <w:bookmarkEnd w:id="199"/>
      <w:r>
        <w:rPr>
          <w:rFonts w:hint="eastAsia" w:ascii="黑体" w:hAnsi="黑体" w:cs="黑体"/>
          <w:b w:val="0"/>
          <w:bCs w:val="0"/>
          <w:sz w:val="32"/>
          <w:szCs w:val="32"/>
        </w:rPr>
        <w:fldChar w:fldCharType="end"/>
      </w:r>
    </w:p>
    <w:p>
      <w:pPr>
        <w:spacing w:line="360" w:lineRule="auto"/>
        <w:ind w:firstLine="640"/>
        <w:rPr>
          <w:rFonts w:ascii="黑体" w:hAnsi="黑体" w:eastAsia="黑体"/>
          <w:sz w:val="40"/>
          <w:szCs w:val="44"/>
        </w:rPr>
      </w:pPr>
      <w:r>
        <w:rPr>
          <w:rFonts w:hint="eastAsia" w:ascii="仿宋_GB2312" w:hAnsi="仿宋_GB2312" w:eastAsia="仿宋_GB2312" w:cs="仿宋_GB2312"/>
          <w:shd w:val="clear" w:color="auto" w:fill="FFFFFF"/>
        </w:rPr>
        <w:t>坚持“绿水青山就是金山银山”发展理念，大力推进绿色发展、循环发展和低碳发展，将调兵山“山水林田”的自然山水格局、园林化的市区绿地系统、郊区的景观生态系统、城市绿化带结合起来，构建“大生态空间”，加强采矿下沉区生态修复，有效治理农村环境，建设生态园林城市。</w:t>
      </w:r>
    </w:p>
    <w:p>
      <w:pPr>
        <w:pStyle w:val="4"/>
        <w:spacing w:before="0" w:after="0" w:line="360" w:lineRule="auto"/>
        <w:rPr>
          <w:rFonts w:ascii="楷体_GB2312" w:hAnsi="楷体_GB2312" w:eastAsia="楷体_GB2312" w:cs="楷体_GB2312"/>
        </w:rPr>
      </w:pPr>
      <w:bookmarkStart w:id="200" w:name="_Toc58853114"/>
      <w:r>
        <w:rPr>
          <w:rFonts w:hint="eastAsia" w:ascii="楷体_GB2312" w:hAnsi="楷体_GB2312" w:eastAsia="楷体_GB2312" w:cs="楷体_GB2312"/>
        </w:rPr>
        <w:t xml:space="preserve">第一节 </w:t>
      </w:r>
      <w:r>
        <w:fldChar w:fldCharType="begin"/>
      </w:r>
      <w:r>
        <w:instrText xml:space="preserve"> HYPERLINK \l "_Toc47623204" </w:instrText>
      </w:r>
      <w:r>
        <w:fldChar w:fldCharType="separate"/>
      </w:r>
      <w:bookmarkStart w:id="201" w:name="_Toc50887035"/>
      <w:bookmarkStart w:id="202" w:name="_Toc50889077"/>
      <w:bookmarkStart w:id="203" w:name="_Toc50889171"/>
      <w:r>
        <w:rPr>
          <w:rFonts w:hint="eastAsia" w:ascii="楷体_GB2312" w:hAnsi="楷体_GB2312" w:eastAsia="楷体_GB2312" w:cs="楷体_GB2312"/>
        </w:rPr>
        <w:t>加强矿区生态修复</w:t>
      </w:r>
      <w:bookmarkEnd w:id="200"/>
      <w:bookmarkEnd w:id="201"/>
      <w:bookmarkEnd w:id="202"/>
      <w:bookmarkEnd w:id="203"/>
      <w:r>
        <w:rPr>
          <w:rFonts w:hint="eastAsia" w:ascii="楷体_GB2312" w:hAnsi="楷体_GB2312" w:eastAsia="楷体_GB2312" w:cs="楷体_GB2312"/>
        </w:rPr>
        <w:fldChar w:fldCharType="end"/>
      </w:r>
    </w:p>
    <w:p>
      <w:pPr>
        <w:pStyle w:val="18"/>
        <w:autoSpaceDE w:val="0"/>
        <w:spacing w:after="0" w:line="360" w:lineRule="auto"/>
        <w:ind w:left="0" w:leftChars="0" w:firstLine="643"/>
        <w:rPr>
          <w:rFonts w:ascii="仿宋_GB2312" w:hAnsi="仿宋_GB2312" w:eastAsia="仿宋_GB2312" w:cs="仿宋_GB2312"/>
          <w:szCs w:val="32"/>
          <w:shd w:val="clear" w:color="auto" w:fill="FFFFFF"/>
        </w:rPr>
      </w:pPr>
      <w:r>
        <w:rPr>
          <w:rFonts w:hint="eastAsia" w:ascii="仿宋_GB2312" w:hAnsi="仿宋_GB2312" w:eastAsia="仿宋_GB2312" w:cs="仿宋_GB2312"/>
          <w:b/>
          <w:szCs w:val="32"/>
          <w:shd w:val="clear" w:color="auto" w:fill="FFFFFF"/>
        </w:rPr>
        <w:t>加强矿山地质环境恢复和综合治理。</w:t>
      </w:r>
      <w:r>
        <w:rPr>
          <w:rFonts w:hint="eastAsia" w:ascii="仿宋_GB2312" w:hAnsi="仿宋_GB2312" w:eastAsia="仿宋_GB2312" w:cs="仿宋_GB2312"/>
          <w:szCs w:val="32"/>
          <w:shd w:val="clear" w:color="auto" w:fill="FFFFFF"/>
        </w:rPr>
        <w:t>保护和改善矿山地质环境，完善矿山环境管理各项体制机制。按照“一矿一策、一山一策”原则，落实矸石山治理总体规划，完成矸石山治理与生态修复。加强与科研院校开展研究合作，制定符合国家标准，适用铁法能源实际矿山生态修复标准。</w:t>
      </w:r>
    </w:p>
    <w:p>
      <w:pPr>
        <w:spacing w:line="360" w:lineRule="auto"/>
        <w:ind w:firstLine="643"/>
        <w:rPr>
          <w:rFonts w:ascii="仿宋_GB2312" w:hAnsi="仿宋_GB2312" w:eastAsia="仿宋_GB2312" w:cs="仿宋_GB2312"/>
          <w:szCs w:val="32"/>
        </w:rPr>
      </w:pPr>
      <w:r>
        <w:rPr>
          <w:rFonts w:hint="eastAsia" w:ascii="仿宋_GB2312" w:hAnsi="仿宋_GB2312" w:eastAsia="仿宋_GB2312" w:cs="仿宋_GB2312"/>
          <w:b/>
          <w:szCs w:val="32"/>
          <w:shd w:val="clear" w:color="auto" w:fill="FFFFFF"/>
        </w:rPr>
        <w:t>强化源头保护推进绿色矿山建设。</w:t>
      </w:r>
      <w:r>
        <w:rPr>
          <w:rFonts w:hint="eastAsia" w:ascii="仿宋_GB2312" w:hAnsi="仿宋_GB2312" w:eastAsia="仿宋_GB2312" w:cs="仿宋_GB2312"/>
          <w:szCs w:val="32"/>
          <w:shd w:val="clear" w:color="auto" w:fill="FFFFFF"/>
        </w:rPr>
        <w:t>坚持“谁开发、谁保护、谁破坏、谁治理”，确保矿山企业全面承担矿山地质环境治理恢复的主体责任。</w:t>
      </w:r>
      <w:r>
        <w:rPr>
          <w:rFonts w:hint="eastAsia" w:ascii="仿宋_GB2312" w:hAnsi="仿宋_GB2312" w:eastAsia="仿宋_GB2312" w:cs="仿宋_GB2312"/>
          <w:szCs w:val="32"/>
        </w:rPr>
        <w:t>加强大明矿区、晓明矿区等采矿下沉重点复垦地区</w:t>
      </w:r>
      <w:r>
        <w:rPr>
          <w:rFonts w:hint="eastAsia" w:ascii="仿宋_GB2312" w:hAnsi="仿宋_GB2312" w:eastAsia="仿宋_GB2312" w:cs="仿宋_GB2312"/>
          <w:szCs w:val="32"/>
          <w:shd w:val="clear" w:color="auto" w:fill="FFFFFF"/>
        </w:rPr>
        <w:t>集中重点治理，“十四五”期间，复垦比例将达到20%以上。</w:t>
      </w:r>
      <w:r>
        <w:rPr>
          <w:rFonts w:hint="eastAsia" w:ascii="仿宋_GB2312" w:hAnsi="仿宋_GB2312" w:eastAsia="仿宋_GB2312" w:cs="仿宋_GB2312"/>
          <w:szCs w:val="32"/>
        </w:rPr>
        <w:t>落实国家对采煤沉陷区综合治理工作制定的优惠政策，积极争取上级资金，发挥市场机制作用，创新治理模式和投入机制，严格防控新生沉陷，加快治理已有沉陷，推动损毁土地复垦利用。推进大隆矿、晓南矿、小青矿矿井进入全国绿色矿山名录库，启动调兵山绿色矿业发展示范区创建工作。</w:t>
      </w:r>
    </w:p>
    <w:p>
      <w:pPr>
        <w:ind w:firstLine="643"/>
        <w:rPr>
          <w:rFonts w:ascii="仿宋_GB2312" w:hAnsi="仿宋_GB2312" w:eastAsia="仿宋_GB2312" w:cs="仿宋_GB2312"/>
          <w:szCs w:val="32"/>
        </w:rPr>
      </w:pPr>
      <w:r>
        <w:rPr>
          <w:rFonts w:hint="eastAsia" w:ascii="仿宋_GB2312" w:hAnsi="仿宋_GB2312" w:eastAsia="仿宋_GB2312" w:cs="仿宋_GB2312"/>
          <w:b/>
          <w:bCs/>
          <w:szCs w:val="32"/>
          <w:shd w:val="clear" w:color="auto" w:fill="FFFFFF"/>
          <w:lang w:val="zh-CN"/>
        </w:rPr>
        <w:t>严格落实生态保护制度。</w:t>
      </w:r>
      <w:r>
        <w:rPr>
          <w:rFonts w:hint="eastAsia" w:ascii="仿宋_GB2312" w:hAnsi="仿宋_GB2312" w:eastAsia="仿宋_GB2312" w:cs="仿宋_GB2312"/>
          <w:szCs w:val="32"/>
          <w:shd w:val="clear" w:color="auto" w:fill="FFFFFF"/>
        </w:rPr>
        <w:t>完善生态保护、污染管控、生态治理和综合执法体制机制，落实跨区域跨流域污染防治联防联控。建立生态优先的决策机制，着力推进绿色低碳发展。加大生态环境保护考核力度，严格落实领导干部离任生态审计制度，健全生态环境监测、评价和修复机制。构建生态环境监测网络，在全市推行网格化监管，实现生态环境监测全覆盖、智能化预测预警，提升生态环境监测水平。加强环境风险管理，完善应急预案，加强危险废物、医疗废物管理。</w:t>
      </w:r>
    </w:p>
    <w:p>
      <w:pPr>
        <w:pStyle w:val="4"/>
        <w:spacing w:before="0" w:after="0" w:line="360" w:lineRule="auto"/>
        <w:rPr>
          <w:rFonts w:ascii="楷体_GB2312" w:hAnsi="楷体_GB2312" w:eastAsia="楷体_GB2312" w:cs="楷体_GB2312"/>
        </w:rPr>
      </w:pPr>
      <w:bookmarkStart w:id="204" w:name="_Toc58853115"/>
      <w:r>
        <w:rPr>
          <w:rFonts w:hint="eastAsia" w:ascii="楷体_GB2312" w:hAnsi="楷体_GB2312" w:eastAsia="楷体_GB2312" w:cs="楷体_GB2312"/>
        </w:rPr>
        <w:t xml:space="preserve">第二节 </w:t>
      </w:r>
      <w:r>
        <w:fldChar w:fldCharType="begin"/>
      </w:r>
      <w:r>
        <w:instrText xml:space="preserve"> HYPERLINK \l "_Toc47623206" </w:instrText>
      </w:r>
      <w:r>
        <w:fldChar w:fldCharType="separate"/>
      </w:r>
      <w:r>
        <w:rPr>
          <w:rFonts w:hint="eastAsia" w:ascii="楷体_GB2312" w:hAnsi="楷体_GB2312" w:eastAsia="楷体_GB2312" w:cs="楷体_GB2312"/>
        </w:rPr>
        <w:t>实施环境保护工程</w:t>
      </w:r>
      <w:bookmarkEnd w:id="204"/>
      <w:r>
        <w:rPr>
          <w:rFonts w:hint="eastAsia" w:ascii="楷体_GB2312" w:hAnsi="楷体_GB2312" w:eastAsia="楷体_GB2312" w:cs="楷体_GB2312"/>
        </w:rPr>
        <w:fldChar w:fldCharType="end"/>
      </w:r>
      <w:r>
        <w:rPr>
          <w:rFonts w:hint="eastAsia" w:ascii="楷体_GB2312" w:hAnsi="楷体_GB2312" w:eastAsia="楷体_GB2312" w:cs="楷体_GB2312"/>
        </w:rPr>
        <w:t xml:space="preserve"> </w:t>
      </w:r>
    </w:p>
    <w:p>
      <w:pPr>
        <w:ind w:firstLine="643"/>
        <w:rPr>
          <w:rFonts w:ascii="仿宋_GB2312" w:hAnsi="仿宋_GB2312" w:eastAsia="仿宋_GB2312" w:cs="仿宋_GB2312"/>
          <w:szCs w:val="32"/>
        </w:rPr>
      </w:pPr>
      <w:r>
        <w:rPr>
          <w:rFonts w:hint="eastAsia" w:ascii="仿宋_GB2312" w:hAnsi="仿宋_GB2312" w:eastAsia="仿宋_GB2312" w:cs="仿宋_GB2312"/>
          <w:b/>
          <w:bCs/>
          <w:szCs w:val="32"/>
        </w:rPr>
        <w:t>实施蓝天工程。</w:t>
      </w:r>
      <w:r>
        <w:rPr>
          <w:rFonts w:hint="eastAsia" w:ascii="仿宋_GB2312" w:hAnsi="仿宋_GB2312" w:eastAsia="仿宋_GB2312" w:cs="仿宋_GB2312"/>
          <w:szCs w:val="32"/>
        </w:rPr>
        <w:t>实施大气污染防治行动计划，调整优化产业结构、能源结构、运输结构，加强区域联防联控和重污染天气应对能力。</w:t>
      </w:r>
      <w:r>
        <w:rPr>
          <w:rFonts w:hint="eastAsia" w:ascii="仿宋_GB2312" w:hAnsi="仿宋_GB2312" w:eastAsia="仿宋_GB2312" w:cs="仿宋_GB2312"/>
          <w:szCs w:val="32"/>
          <w:shd w:val="clear" w:color="auto" w:fill="FFFFFF"/>
          <w:lang w:val="zh-CN"/>
        </w:rPr>
        <w:t>在工业园区继续大力推广集中供热、供能，推广天然气等清洁能源生产使用，实施天然气改造工程，减少燃煤使用量。合理规划和增建加气站，深入推进柴油货车污染治理。推进秋冬季清洁取暖，</w:t>
      </w:r>
      <w:r>
        <w:rPr>
          <w:rFonts w:hint="eastAsia" w:ascii="仿宋_GB2312" w:hAnsi="仿宋_GB2312" w:eastAsia="仿宋_GB2312" w:cs="仿宋_GB2312"/>
          <w:bCs/>
          <w:kern w:val="0"/>
          <w:szCs w:val="32"/>
        </w:rPr>
        <w:t>严格执行燃煤锅炉及工业炉窑排放标准，推广清洁燃烧方式，治理散煤燃烧，</w:t>
      </w:r>
      <w:r>
        <w:rPr>
          <w:rFonts w:hint="eastAsia" w:ascii="仿宋_GB2312" w:hAnsi="仿宋_GB2312" w:eastAsia="仿宋_GB2312" w:cs="仿宋_GB2312"/>
          <w:szCs w:val="32"/>
          <w:shd w:val="clear" w:color="auto" w:fill="FFFFFF"/>
          <w:lang w:val="zh-CN"/>
        </w:rPr>
        <w:t>持续整治“散乱污”企业，</w:t>
      </w:r>
      <w:r>
        <w:rPr>
          <w:rFonts w:hint="eastAsia" w:ascii="仿宋_GB2312" w:hAnsi="仿宋_GB2312" w:eastAsia="仿宋_GB2312" w:cs="仿宋_GB2312"/>
          <w:bCs/>
          <w:szCs w:val="32"/>
        </w:rPr>
        <w:t>全面加强秸秆焚烧管控及资源综合利用。</w:t>
      </w:r>
    </w:p>
    <w:p>
      <w:pPr>
        <w:ind w:firstLine="643"/>
        <w:rPr>
          <w:rFonts w:ascii="仿宋_GB2312" w:hAnsi="仿宋_GB2312" w:eastAsia="仿宋_GB2312" w:cs="仿宋_GB2312"/>
          <w:szCs w:val="32"/>
        </w:rPr>
      </w:pPr>
      <w:r>
        <w:rPr>
          <w:rFonts w:hint="eastAsia" w:ascii="仿宋_GB2312" w:hAnsi="仿宋_GB2312" w:eastAsia="仿宋_GB2312" w:cs="仿宋_GB2312"/>
          <w:b/>
          <w:szCs w:val="32"/>
        </w:rPr>
        <w:t>实施碧水工程。</w:t>
      </w:r>
      <w:r>
        <w:rPr>
          <w:rFonts w:hint="eastAsia" w:ascii="仿宋_GB2312" w:hAnsi="仿宋_GB2312" w:eastAsia="仿宋_GB2312" w:cs="仿宋_GB2312"/>
          <w:szCs w:val="32"/>
        </w:rPr>
        <w:t>依托辽河流域综合整治，</w:t>
      </w:r>
      <w:r>
        <w:rPr>
          <w:rFonts w:hint="eastAsia" w:ascii="仿宋_GB2312" w:hAnsi="仿宋_GB2312" w:eastAsia="仿宋_GB2312" w:cs="仿宋_GB2312"/>
          <w:szCs w:val="32"/>
          <w:shd w:val="clear" w:color="auto" w:fill="FFFFFF"/>
        </w:rPr>
        <w:t>打造水域生态廊道，</w:t>
      </w:r>
      <w:r>
        <w:rPr>
          <w:rFonts w:hint="eastAsia" w:ascii="仿宋_GB2312" w:hAnsi="仿宋_GB2312" w:eastAsia="仿宋_GB2312" w:cs="仿宋_GB2312"/>
          <w:szCs w:val="32"/>
        </w:rPr>
        <w:t>加快新开河、长沟河、王河水环境治理，构建生态景观游览区。加快推进长沟河、新开河生态封育工作，推进生态治河工程。启动污水“零直排区”建设工作，实施涉水“重点源”整治工程。严格执行水污染防治法，加强重点河流污染管控，统筹推进城南污水处理厂提标改造、新开河黑臭河道治理等工程，确保河流水质达标。实施垃圾整治、畜禽养殖污染整治工程。加强水环境信息化管理。</w:t>
      </w:r>
    </w:p>
    <w:p>
      <w:pPr>
        <w:ind w:firstLine="643"/>
        <w:rPr>
          <w:rFonts w:ascii="仿宋_GB2312" w:hAnsi="仿宋_GB2312" w:eastAsia="仿宋_GB2312" w:cs="仿宋_GB2312"/>
          <w:szCs w:val="32"/>
        </w:rPr>
      </w:pPr>
      <w:r>
        <w:rPr>
          <w:rFonts w:hint="eastAsia" w:ascii="仿宋_GB2312" w:hAnsi="仿宋_GB2312" w:eastAsia="仿宋_GB2312" w:cs="仿宋_GB2312"/>
          <w:b/>
          <w:szCs w:val="32"/>
        </w:rPr>
        <w:t>实施沃土工程。</w:t>
      </w:r>
      <w:r>
        <w:rPr>
          <w:rFonts w:hint="eastAsia" w:ascii="仿宋_GB2312" w:hAnsi="仿宋_GB2312" w:eastAsia="仿宋_GB2312" w:cs="仿宋_GB2312"/>
          <w:szCs w:val="32"/>
        </w:rPr>
        <w:t>全面实施土壤污染防治行动计划，推动土壤环境监测点位全覆盖，加强防治与修复利用并举，着力改善土壤环境质量。开展农用地和建设用地土壤污染治理与修复试点，逐步建立土壤治理与修复技术体系。严防矿产资源开发污染土壤。从源头上控制医疗废物和固定废物产生量，推进医疗废物处置和固体废物处置中心建设。</w:t>
      </w:r>
    </w:p>
    <w:p>
      <w:pPr>
        <w:ind w:firstLine="643"/>
        <w:rPr>
          <w:rStyle w:val="62"/>
          <w:rFonts w:ascii="仿宋_GB2312" w:hAnsi="仿宋_GB2312" w:eastAsia="仿宋_GB2312" w:cs="仿宋_GB2312"/>
          <w:szCs w:val="32"/>
        </w:rPr>
      </w:pPr>
      <w:r>
        <w:rPr>
          <w:rFonts w:hint="eastAsia" w:ascii="仿宋_GB2312" w:hAnsi="仿宋_GB2312" w:eastAsia="仿宋_GB2312" w:cs="仿宋_GB2312"/>
          <w:b/>
          <w:bCs/>
          <w:szCs w:val="32"/>
        </w:rPr>
        <w:t>实施青山工程。</w:t>
      </w:r>
      <w:r>
        <w:rPr>
          <w:rStyle w:val="62"/>
          <w:rFonts w:hint="eastAsia" w:ascii="仿宋_GB2312" w:hAnsi="仿宋_GB2312" w:eastAsia="仿宋_GB2312" w:cs="仿宋_GB2312"/>
          <w:szCs w:val="32"/>
          <w:lang w:val="zh-CN"/>
        </w:rPr>
        <w:t>积极争取国家、省青山绿化工程资金，实施水保生态林修复和开展青山动态监测，提高森林覆盖率，积极推进林木采伐限额“进村入户”，保护提升天然林和公益林面积。实施国土绿化行动，多维度增加城乡公共绿地空间和绿化率。重点实施退耕还林工程、国家储备林基地建设项目，重点实施中幼龄林抚育、退化林修复和农田林网改造，选择重点地区开展复层林培育工作。</w:t>
      </w:r>
    </w:p>
    <w:p>
      <w:pPr>
        <w:ind w:firstLine="643"/>
        <w:rPr>
          <w:rFonts w:ascii="仿宋_GB2312" w:hAnsi="仿宋_GB2312" w:eastAsia="仿宋_GB2312" w:cs="仿宋_GB2312"/>
          <w:szCs w:val="32"/>
        </w:rPr>
      </w:pPr>
      <w:r>
        <w:rPr>
          <w:rStyle w:val="62"/>
          <w:rFonts w:hint="eastAsia" w:ascii="仿宋_GB2312" w:hAnsi="仿宋_GB2312" w:eastAsia="仿宋_GB2312" w:cs="仿宋_GB2312"/>
          <w:b/>
          <w:szCs w:val="32"/>
          <w:lang w:val="zh-CN"/>
        </w:rPr>
        <w:t>推进农村环境综合整治</w:t>
      </w:r>
      <w:r>
        <w:rPr>
          <w:rStyle w:val="62"/>
          <w:rFonts w:hint="eastAsia" w:ascii="仿宋_GB2312" w:hAnsi="仿宋_GB2312" w:eastAsia="仿宋_GB2312" w:cs="仿宋_GB2312"/>
          <w:szCs w:val="32"/>
          <w:lang w:val="zh-CN"/>
        </w:rPr>
        <w:t>。推进美丽乡村建设，全市农村垃圾处置体系、垃圾分类实现全覆盖，生活垃圾分类处理系统基本建成。降低化肥、农药的使用水平和面积，提高农家粪肥、有</w:t>
      </w:r>
      <w:r>
        <w:rPr>
          <w:rFonts w:hint="eastAsia" w:ascii="仿宋_GB2312" w:hAnsi="仿宋_GB2312" w:eastAsia="仿宋_GB2312" w:cs="仿宋_GB2312"/>
          <w:szCs w:val="32"/>
        </w:rPr>
        <w:t>机复合肥和生物农药的使用面积。</w:t>
      </w:r>
    </w:p>
    <w:p>
      <w:pPr>
        <w:pStyle w:val="4"/>
        <w:spacing w:before="0" w:after="0" w:line="360" w:lineRule="auto"/>
        <w:rPr>
          <w:rFonts w:ascii="楷体" w:hAnsi="楷体" w:eastAsia="楷体"/>
        </w:rPr>
      </w:pPr>
      <w:bookmarkStart w:id="205" w:name="_Toc58853116"/>
      <w:r>
        <w:rPr>
          <w:rFonts w:hint="eastAsia" w:ascii="楷体_GB2312" w:hAnsi="楷体_GB2312" w:eastAsia="楷体_GB2312" w:cs="楷体_GB2312"/>
        </w:rPr>
        <w:t>第三节 建设生态园林城市</w:t>
      </w:r>
      <w:bookmarkEnd w:id="205"/>
    </w:p>
    <w:p>
      <w:pPr>
        <w:ind w:firstLine="643"/>
        <w:rPr>
          <w:rFonts w:ascii="仿宋_GB2312" w:hAnsi="仿宋_GB2312" w:eastAsia="仿宋_GB2312" w:cs="仿宋_GB2312"/>
          <w:szCs w:val="32"/>
        </w:rPr>
      </w:pPr>
      <w:r>
        <w:rPr>
          <w:rFonts w:hint="eastAsia" w:ascii="仿宋_GB2312" w:hAnsi="仿宋_GB2312" w:eastAsia="仿宋_GB2312" w:cs="仿宋_GB2312"/>
          <w:b/>
          <w:bCs/>
          <w:szCs w:val="32"/>
        </w:rPr>
        <w:t>全面提升生态系统功能。</w:t>
      </w:r>
      <w:r>
        <w:rPr>
          <w:rFonts w:hint="eastAsia" w:ascii="仿宋_GB2312" w:hAnsi="仿宋_GB2312" w:eastAsia="仿宋_GB2312" w:cs="仿宋_GB2312"/>
          <w:szCs w:val="32"/>
        </w:rPr>
        <w:t>加快国土绿化进程，健全沿流域、水库、陆路的国土绿化网格，促进山脉、河湖、城市、乡村绿化。</w:t>
      </w:r>
      <w:r>
        <w:rPr>
          <w:rFonts w:hint="eastAsia" w:ascii="仿宋_GB2312" w:hAnsi="仿宋_GB2312" w:eastAsia="仿宋_GB2312" w:cs="仿宋_GB2312"/>
          <w:bCs/>
          <w:szCs w:val="32"/>
        </w:rPr>
        <w:t>构建“山水林田”生态安全空间格局，</w:t>
      </w:r>
      <w:r>
        <w:rPr>
          <w:rFonts w:hint="eastAsia" w:ascii="仿宋_GB2312" w:hAnsi="仿宋_GB2312" w:eastAsia="仿宋_GB2312" w:cs="仿宋_GB2312"/>
          <w:szCs w:val="32"/>
        </w:rPr>
        <w:t>加快推进国土空间总体规划编制，推进“多规合一”，初步形成国土空间开发保护“一张图”。</w:t>
      </w:r>
    </w:p>
    <w:p>
      <w:pPr>
        <w:ind w:firstLine="643"/>
        <w:rPr>
          <w:rFonts w:ascii="仿宋_GB2312" w:hAnsi="仿宋_GB2312" w:eastAsia="仿宋_GB2312" w:cs="仿宋_GB2312"/>
          <w:szCs w:val="32"/>
        </w:rPr>
      </w:pPr>
      <w:r>
        <w:rPr>
          <w:rFonts w:hint="eastAsia" w:ascii="仿宋_GB2312" w:hAnsi="仿宋_GB2312" w:eastAsia="仿宋_GB2312" w:cs="仿宋_GB2312"/>
          <w:b/>
        </w:rPr>
        <w:t>加快生态型园林城市建设</w:t>
      </w:r>
      <w:r>
        <w:rPr>
          <w:rFonts w:hint="eastAsia" w:ascii="仿宋_GB2312" w:hAnsi="仿宋_GB2312" w:eastAsia="仿宋_GB2312" w:cs="仿宋_GB2312"/>
        </w:rPr>
        <w:t>。</w:t>
      </w:r>
      <w:r>
        <w:rPr>
          <w:rFonts w:hint="eastAsia" w:ascii="仿宋_GB2312" w:hAnsi="仿宋_GB2312" w:eastAsia="仿宋_GB2312" w:cs="仿宋_GB2312"/>
          <w:szCs w:val="32"/>
        </w:rPr>
        <w:t>积极构筑调兵山市域大生态空间，依托自然山水格局，将园林化的市区绿地系统、生态化的郊区景观结合起来，把城市建设融入自然生态系统。调整绿地结构布局，加强城市公园绿地建设</w:t>
      </w:r>
      <w:r>
        <w:rPr>
          <w:rFonts w:hint="eastAsia" w:ascii="仿宋_GB2312" w:hAnsi="仿宋_GB2312" w:eastAsia="仿宋_GB2312" w:cs="仿宋_GB2312"/>
          <w:b/>
        </w:rPr>
        <w:t>。</w:t>
      </w:r>
      <w:r>
        <w:rPr>
          <w:rFonts w:hint="eastAsia" w:ascii="仿宋_GB2312" w:hAnsi="仿宋_GB2312" w:eastAsia="仿宋_GB2312" w:cs="仿宋_GB2312"/>
        </w:rPr>
        <w:t>增加城市规划建成区绿地和生态用地规模，新建南园区街心游园、中央大街两侧小游园、南开发区金石公园，</w:t>
      </w:r>
      <w:r>
        <w:rPr>
          <w:rFonts w:hint="eastAsia" w:ascii="仿宋_GB2312" w:hAnsi="仿宋_GB2312" w:eastAsia="仿宋_GB2312" w:cs="仿宋_GB2312"/>
          <w:szCs w:val="32"/>
        </w:rPr>
        <w:t>增加公园绿地覆盖率。加强林荫环境改造及下层植物的梳理。营造“疏林草地”景观。完成中心区各街路绿地及地被植物改造，中心区各街路地被植物改造，中心区各街路树木补植，实现</w:t>
      </w:r>
      <w:r>
        <w:rPr>
          <w:rFonts w:hint="eastAsia" w:ascii="仿宋_GB2312" w:hAnsi="仿宋_GB2312" w:eastAsia="仿宋_GB2312" w:cs="仿宋_GB2312"/>
        </w:rPr>
        <w:t>“200米见绿，500米入园”的城市绿地合理布局目标。加强城市道路绿化隔离带、道路分车带和行道树的绿化建设，提高林荫路比例。</w:t>
      </w:r>
    </w:p>
    <w:p>
      <w:pPr>
        <w:ind w:firstLine="643"/>
        <w:rPr>
          <w:rFonts w:ascii="仿宋_GB2312" w:hAnsi="仿宋_GB2312" w:eastAsia="仿宋_GB2312" w:cs="仿宋_GB2312"/>
          <w:szCs w:val="32"/>
        </w:rPr>
      </w:pPr>
      <w:r>
        <w:rPr>
          <w:rFonts w:hint="eastAsia" w:ascii="仿宋_GB2312" w:hAnsi="仿宋_GB2312" w:eastAsia="仿宋_GB2312" w:cs="仿宋_GB2312"/>
          <w:b/>
          <w:bCs/>
          <w:szCs w:val="32"/>
        </w:rPr>
        <w:t>积极践行绿色生产生活。</w:t>
      </w:r>
      <w:r>
        <w:rPr>
          <w:rFonts w:hint="eastAsia" w:ascii="仿宋_GB2312" w:hAnsi="仿宋_GB2312" w:eastAsia="仿宋_GB2312" w:cs="仿宋_GB2312"/>
          <w:szCs w:val="32"/>
        </w:rPr>
        <w:t>贯穿生态治理、产业发展、旅游观光为主线，以流域治理为核心，以新开河流域综合整治为契机，推动生态产业化和产业生态化。广泛开展世界地球日、环境日、低碳日等多形式的绿色生活主题宣传活动。持续开展节约型机关、绿色家庭、绿色学校、绿色社区、绿色商场创建行动，推广新型绿色建筑，倡导绿色清洁生活。按照“土地集约化、原料无害化、生产洁净化、废物资源化、能源低碳化”原则，创建绿色工厂。</w:t>
      </w:r>
    </w:p>
    <w:p>
      <w:pPr>
        <w:pStyle w:val="6"/>
        <w:spacing w:before="156" w:after="156"/>
        <w:jc w:val="center"/>
        <w:rPr>
          <w:rFonts w:ascii="楷体" w:hAnsi="楷体" w:eastAsia="楷体"/>
          <w:sz w:val="28"/>
        </w:rPr>
      </w:pPr>
      <w:r>
        <w:rPr>
          <w:rFonts w:hint="eastAsia" w:ascii="楷体" w:hAnsi="楷体" w:eastAsia="楷体"/>
          <w:sz w:val="28"/>
        </w:rPr>
        <w:t>专栏10</w:t>
      </w:r>
      <w:r>
        <w:rPr>
          <w:rFonts w:ascii="楷体" w:hAnsi="楷体" w:eastAsia="楷体"/>
          <w:sz w:val="28"/>
        </w:rPr>
        <w:t xml:space="preserve">  </w:t>
      </w:r>
      <w:r>
        <w:rPr>
          <w:rFonts w:hint="eastAsia" w:ascii="楷体" w:hAnsi="楷体" w:eastAsia="楷体"/>
          <w:sz w:val="28"/>
        </w:rPr>
        <w:t>“十四五”期间</w:t>
      </w:r>
      <w:r>
        <w:rPr>
          <w:rFonts w:ascii="楷体" w:hAnsi="楷体" w:eastAsia="楷体"/>
          <w:sz w:val="28"/>
        </w:rPr>
        <w:t>调兵山市</w:t>
      </w:r>
      <w:r>
        <w:rPr>
          <w:rFonts w:hint="eastAsia" w:ascii="楷体" w:hAnsi="楷体" w:eastAsia="楷体"/>
          <w:sz w:val="28"/>
        </w:rPr>
        <w:t>生态环境保护重点工程</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spacing w:line="360" w:lineRule="auto"/>
              <w:ind w:firstLine="480"/>
              <w:rPr>
                <w:rFonts w:ascii="宋体" w:hAnsi="宋体" w:eastAsia="宋体"/>
                <w:sz w:val="24"/>
                <w:szCs w:val="21"/>
              </w:rPr>
            </w:pPr>
            <w:r>
              <w:rPr>
                <w:rFonts w:hint="eastAsia" w:ascii="宋体" w:hAnsi="宋体" w:eastAsia="宋体"/>
                <w:sz w:val="24"/>
                <w:szCs w:val="21"/>
              </w:rPr>
              <w:t>1.实施垃圾整治工程。开展城市垃圾整治、建立和完善农村垃圾处理体系；2.实施畜禽养殖污染整治工程。修订和完善调兵山市禁养区划定方案、大力发展规模化标准化养殖、积极推进规模化养殖场粪污治理设施建设、积极推进畜禽养殖行业结构调整；3.实施河流生态修复治理工程：实施长沟河、新开河封育工程，推进长沟河、新开河生态治河工程；4.实施涉水“重点源”整治工程；5.实施水环境信息化管理工程：推进水环境执法移动监管平台系统建设、完善重点污染源监控系统、优化重点河流在线监测系统。6.自然资源重点工程。晓南镇全域土地综合治理试点建设、西部水源涵养林生态屏障区建设、东部平原农田防护林网区建设。</w:t>
            </w:r>
          </w:p>
        </w:tc>
      </w:tr>
    </w:tbl>
    <w:p>
      <w:pPr>
        <w:pStyle w:val="4"/>
        <w:spacing w:before="0" w:after="0" w:line="360" w:lineRule="auto"/>
        <w:rPr>
          <w:rFonts w:ascii="楷体_GB2312" w:hAnsi="楷体_GB2312" w:eastAsia="楷体_GB2312" w:cs="楷体_GB2312"/>
        </w:rPr>
      </w:pPr>
      <w:bookmarkStart w:id="206" w:name="_Toc50889174"/>
      <w:bookmarkStart w:id="207" w:name="_Toc50889080"/>
      <w:bookmarkStart w:id="208" w:name="_Toc58853117"/>
      <w:r>
        <w:rPr>
          <w:rFonts w:hint="eastAsia" w:ascii="楷体_GB2312" w:hAnsi="楷体_GB2312" w:eastAsia="楷体_GB2312" w:cs="楷体_GB2312"/>
        </w:rPr>
        <w:t xml:space="preserve">第四节 </w:t>
      </w:r>
      <w:bookmarkEnd w:id="206"/>
      <w:bookmarkEnd w:id="207"/>
      <w:r>
        <w:rPr>
          <w:rFonts w:hint="eastAsia" w:ascii="楷体_GB2312" w:hAnsi="楷体_GB2312" w:eastAsia="楷体_GB2312" w:cs="楷体_GB2312"/>
        </w:rPr>
        <w:t>完善现代环境治理体系</w:t>
      </w:r>
      <w:bookmarkEnd w:id="208"/>
    </w:p>
    <w:p>
      <w:pPr>
        <w:ind w:firstLine="643"/>
        <w:rPr>
          <w:rFonts w:ascii="仿宋_GB2312" w:hAnsi="仿宋_GB2312" w:eastAsia="仿宋_GB2312" w:cs="仿宋_GB2312"/>
          <w:szCs w:val="32"/>
        </w:rPr>
      </w:pPr>
      <w:r>
        <w:rPr>
          <w:rFonts w:hint="eastAsia" w:ascii="仿宋_GB2312" w:hAnsi="仿宋_GB2312" w:eastAsia="仿宋_GB2312" w:cs="仿宋_GB2312"/>
          <w:b/>
          <w:szCs w:val="32"/>
        </w:rPr>
        <w:t>实行严格的生态环境准入政策。</w:t>
      </w:r>
      <w:r>
        <w:rPr>
          <w:rFonts w:hint="eastAsia" w:ascii="仿宋_GB2312" w:hAnsi="仿宋_GB2312" w:eastAsia="仿宋_GB2312" w:cs="仿宋_GB2312"/>
          <w:szCs w:val="32"/>
        </w:rPr>
        <w:t>统筹优化“三区三线”，落实生态保护红线、环境质量底线、资源利用上线和生态环境准入负面清单“三线一单”。按照铁岭市“三线一单”要求，实行严格的生态环境准入政策。保护5.38平方公里调兵山市生态保护红线，禁止城镇化和工业化活动。控制一般生态空间39.12平方公里，严格控制建设活动范围和强度。现有不符合生态功能定位、对生态功能影响较大的项目，制定搬迁退出计划。</w:t>
      </w:r>
    </w:p>
    <w:p>
      <w:pPr>
        <w:ind w:firstLine="629" w:firstLineChars="196"/>
        <w:rPr>
          <w:rFonts w:ascii="仿宋_GB2312" w:hAnsi="仿宋_GB2312" w:eastAsia="仿宋_GB2312" w:cs="仿宋_GB2312"/>
          <w:bCs/>
          <w:szCs w:val="32"/>
        </w:rPr>
      </w:pPr>
      <w:r>
        <w:rPr>
          <w:rFonts w:hint="eastAsia" w:ascii="仿宋_GB2312" w:hAnsi="仿宋_GB2312" w:eastAsia="仿宋_GB2312" w:cs="仿宋_GB2312"/>
          <w:b/>
          <w:bCs/>
          <w:szCs w:val="32"/>
        </w:rPr>
        <w:t>完善矿山地质环境管理体制机制</w:t>
      </w:r>
      <w:r>
        <w:rPr>
          <w:rFonts w:hint="eastAsia" w:ascii="仿宋_GB2312" w:hAnsi="仿宋_GB2312" w:eastAsia="仿宋_GB2312" w:cs="仿宋_GB2312"/>
          <w:bCs/>
          <w:szCs w:val="32"/>
        </w:rPr>
        <w:t>。贯彻落实辽宁省矿山地质环境治理恢复基金制度和矿山企业地质环境监督管理制度，落实企业责任。完善目标考核和专项督查制度，市政府将矿山生态治理目标纳入各级政府年度目标考核体系，实施目标考核制，健全监督检查制度。市国土资源有关部门建立实施监测和动态评估机制，加强对矿山地质环境的宏观动态监测，强化对矿区生态修复的跟踪分析和动态评估。</w:t>
      </w:r>
    </w:p>
    <w:p>
      <w:pPr>
        <w:ind w:firstLine="629" w:firstLineChars="196"/>
        <w:rPr>
          <w:rFonts w:ascii="仿宋_GB2312" w:hAnsi="仿宋_GB2312" w:eastAsia="仿宋_GB2312" w:cs="仿宋_GB2312"/>
          <w:szCs w:val="32"/>
        </w:rPr>
      </w:pPr>
      <w:r>
        <w:rPr>
          <w:rFonts w:hint="eastAsia" w:ascii="仿宋_GB2312" w:hAnsi="仿宋_GB2312" w:eastAsia="仿宋_GB2312" w:cs="仿宋_GB2312"/>
          <w:b/>
          <w:bCs/>
          <w:szCs w:val="32"/>
        </w:rPr>
        <w:t>完善生态治理工作制度</w:t>
      </w:r>
      <w:r>
        <w:rPr>
          <w:rFonts w:hint="eastAsia" w:ascii="仿宋_GB2312" w:hAnsi="仿宋_GB2312" w:eastAsia="仿宋_GB2312" w:cs="仿宋_GB2312"/>
          <w:szCs w:val="32"/>
        </w:rPr>
        <w:t>。健市、镇、村“生态治理专班”制度，统筹做好建设的指导、协调、督促和考核工作。加快完善“绿色发展”指标体系和考核评价制度，将考核结果作为各责任单位综合考核评价、各级领导干部奖惩任免的重要依据。统筹河湖保护管理规划，完善涉河项目审批制度，严格落实“河长制”。</w:t>
      </w:r>
    </w:p>
    <w:p>
      <w:pPr>
        <w:ind w:firstLine="629" w:firstLineChars="196"/>
        <w:rPr>
          <w:rFonts w:ascii="仿宋_GB2312" w:hAnsi="仿宋_GB2312" w:eastAsia="仿宋_GB2312" w:cs="仿宋_GB2312"/>
          <w:szCs w:val="32"/>
        </w:rPr>
      </w:pPr>
      <w:r>
        <w:rPr>
          <w:rFonts w:hint="eastAsia" w:ascii="仿宋_GB2312" w:hAnsi="仿宋_GB2312" w:eastAsia="仿宋_GB2312" w:cs="仿宋_GB2312"/>
          <w:b/>
          <w:bCs/>
          <w:szCs w:val="32"/>
        </w:rPr>
        <w:t>健全生态治理监管制度。</w:t>
      </w:r>
      <w:r>
        <w:rPr>
          <w:rFonts w:hint="eastAsia" w:ascii="仿宋_GB2312" w:hAnsi="仿宋_GB2312" w:eastAsia="仿宋_GB2312" w:cs="仿宋_GB2312"/>
          <w:szCs w:val="32"/>
        </w:rPr>
        <w:t>健全生态环境领导责任体系，建立市、乡镇/街道和村/社区三级生态环境监管体系，健全生态环境议事协调机制，推动生态环境监管全覆盖。公开生态环境治理信息，鼓励公民、法人和其他社会组织通过环保热线、行风热线、民心网受理平台，参与监督，共同维护良好生态环境。</w:t>
      </w:r>
    </w:p>
    <w:p>
      <w:pPr>
        <w:pStyle w:val="2"/>
        <w:ind w:firstLine="360"/>
      </w:pPr>
      <w:r>
        <w:br w:type="page"/>
      </w:r>
    </w:p>
    <w:p>
      <w:pPr>
        <w:pStyle w:val="3"/>
        <w:keepNext w:val="0"/>
        <w:keepLines w:val="0"/>
        <w:topLinePunct/>
        <w:spacing w:before="0" w:after="0" w:line="600" w:lineRule="exact"/>
        <w:rPr>
          <w:rFonts w:ascii="黑体" w:hAnsi="黑体" w:cs="黑体"/>
          <w:b w:val="0"/>
          <w:bCs w:val="0"/>
          <w:sz w:val="32"/>
          <w:szCs w:val="32"/>
        </w:rPr>
      </w:pPr>
      <w:r>
        <w:fldChar w:fldCharType="begin"/>
      </w:r>
      <w:r>
        <w:instrText xml:space="preserve"> HYPERLINK \l "_Toc47623208" </w:instrText>
      </w:r>
      <w:r>
        <w:fldChar w:fldCharType="separate"/>
      </w:r>
      <w:bookmarkStart w:id="209" w:name="_Toc50889081"/>
      <w:bookmarkStart w:id="210" w:name="_Toc50889175"/>
      <w:bookmarkStart w:id="211" w:name="_Toc58853118"/>
      <w:bookmarkStart w:id="212" w:name="_Toc50887039"/>
      <w:r>
        <w:rPr>
          <w:rFonts w:hint="eastAsia" w:ascii="黑体" w:hAnsi="黑体" w:cs="黑体"/>
          <w:b w:val="0"/>
          <w:bCs w:val="0"/>
          <w:sz w:val="32"/>
          <w:szCs w:val="32"/>
        </w:rPr>
        <w:t>第十一章 融入“双循环”，打造对外开放新格局</w:t>
      </w:r>
      <w:bookmarkEnd w:id="209"/>
      <w:bookmarkEnd w:id="210"/>
      <w:bookmarkEnd w:id="211"/>
      <w:bookmarkEnd w:id="212"/>
      <w:r>
        <w:rPr>
          <w:rFonts w:hint="eastAsia" w:ascii="黑体" w:hAnsi="黑体" w:cs="黑体"/>
          <w:b w:val="0"/>
          <w:bCs w:val="0"/>
          <w:sz w:val="32"/>
          <w:szCs w:val="32"/>
        </w:rPr>
        <w:fldChar w:fldCharType="end"/>
      </w:r>
    </w:p>
    <w:p>
      <w:pPr>
        <w:spacing w:line="600" w:lineRule="exact"/>
        <w:ind w:firstLine="640"/>
        <w:rPr>
          <w:rFonts w:ascii="仿宋_GB2312" w:hAnsi="仿宋_GB2312" w:eastAsia="仿宋_GB2312" w:cs="仿宋_GB2312"/>
          <w:szCs w:val="28"/>
        </w:rPr>
      </w:pPr>
      <w:r>
        <w:rPr>
          <w:rFonts w:hint="eastAsia" w:ascii="仿宋_GB2312" w:hAnsi="仿宋_GB2312" w:eastAsia="仿宋_GB2312" w:cs="仿宋_GB2312"/>
          <w:szCs w:val="28"/>
        </w:rPr>
        <w:t>依托辽中南城市群、沈阳都市圈、调兵山-铁岭-抚顺发展轴线，不断扩大对外开放，融入辽宁打造对外开放新前沿总体战略，积极开展对外开放与对内合作，增强经济社会发展新活力。</w:t>
      </w:r>
    </w:p>
    <w:p>
      <w:pPr>
        <w:pStyle w:val="4"/>
        <w:spacing w:before="0" w:after="0" w:line="600" w:lineRule="exact"/>
        <w:rPr>
          <w:rFonts w:ascii="楷体" w:hAnsi="楷体" w:eastAsia="楷体"/>
        </w:rPr>
      </w:pPr>
      <w:bookmarkStart w:id="213" w:name="_Toc58853119"/>
      <w:bookmarkStart w:id="214" w:name="_Toc50889176"/>
      <w:bookmarkStart w:id="215" w:name="_Toc50889082"/>
      <w:r>
        <w:rPr>
          <w:rFonts w:hint="eastAsia" w:ascii="楷体_GB2312" w:hAnsi="楷体_GB2312" w:eastAsia="楷体_GB2312" w:cs="楷体_GB2312"/>
        </w:rPr>
        <w:t xml:space="preserve">第一节 </w:t>
      </w:r>
      <w:r>
        <w:fldChar w:fldCharType="begin"/>
      </w:r>
      <w:r>
        <w:instrText xml:space="preserve"> HYPERLINK \l "_Toc47623209" </w:instrText>
      </w:r>
      <w:r>
        <w:fldChar w:fldCharType="separate"/>
      </w:r>
      <w:bookmarkStart w:id="216" w:name="_Toc50887040"/>
      <w:r>
        <w:rPr>
          <w:rFonts w:hint="eastAsia" w:ascii="楷体_GB2312" w:hAnsi="楷体_GB2312" w:eastAsia="楷体_GB2312" w:cs="楷体_GB2312"/>
        </w:rPr>
        <w:t>深度融入辽宁“一带一路”</w:t>
      </w:r>
      <w:bookmarkEnd w:id="213"/>
      <w:bookmarkEnd w:id="214"/>
      <w:bookmarkEnd w:id="215"/>
      <w:bookmarkEnd w:id="216"/>
      <w:r>
        <w:rPr>
          <w:rFonts w:hint="eastAsia" w:ascii="楷体_GB2312" w:hAnsi="楷体_GB2312" w:eastAsia="楷体_GB2312" w:cs="楷体_GB2312"/>
        </w:rPr>
        <w:fldChar w:fldCharType="end"/>
      </w:r>
    </w:p>
    <w:p>
      <w:pPr>
        <w:spacing w:line="600" w:lineRule="exact"/>
        <w:ind w:firstLine="643"/>
        <w:rPr>
          <w:rFonts w:ascii="仿宋_GB2312" w:hAnsi="仿宋_GB2312" w:eastAsia="仿宋_GB2312" w:cs="仿宋_GB2312"/>
          <w:bCs/>
          <w:szCs w:val="28"/>
        </w:rPr>
      </w:pPr>
      <w:r>
        <w:rPr>
          <w:rFonts w:hint="eastAsia" w:ascii="仿宋_GB2312" w:hAnsi="仿宋_GB2312" w:eastAsia="仿宋_GB2312" w:cs="仿宋_GB2312"/>
          <w:b/>
          <w:bCs/>
          <w:szCs w:val="28"/>
        </w:rPr>
        <w:t>大力发展开放型经济</w:t>
      </w:r>
      <w:r>
        <w:rPr>
          <w:rFonts w:hint="eastAsia" w:ascii="仿宋_GB2312" w:hAnsi="仿宋_GB2312" w:eastAsia="仿宋_GB2312" w:cs="仿宋_GB2312"/>
          <w:szCs w:val="28"/>
        </w:rPr>
        <w:t>。积极对接“一带一路”、长江经济带、京津冀、粤港澳大湾区等国家战略，结合“构建以国内大循环为主体、国际国内双循环相互促进的新发展格局”国家战略，</w:t>
      </w:r>
      <w:r>
        <w:rPr>
          <w:rFonts w:hint="eastAsia" w:ascii="仿宋_GB2312" w:hAnsi="仿宋_GB2312" w:eastAsia="仿宋_GB2312" w:cs="仿宋_GB2312"/>
          <w:bCs/>
          <w:szCs w:val="28"/>
        </w:rPr>
        <w:t>积极承接国内外产业转移，</w:t>
      </w:r>
      <w:r>
        <w:rPr>
          <w:rFonts w:hint="eastAsia" w:ascii="仿宋_GB2312" w:hAnsi="仿宋_GB2312" w:eastAsia="仿宋_GB2312" w:cs="仿宋_GB2312"/>
          <w:kern w:val="0"/>
          <w:szCs w:val="32"/>
        </w:rPr>
        <w:t>积极开拓</w:t>
      </w:r>
      <w:r>
        <w:rPr>
          <w:rFonts w:hint="eastAsia" w:ascii="仿宋_GB2312" w:hAnsi="仿宋_GB2312" w:eastAsia="仿宋_GB2312" w:cs="仿宋_GB2312"/>
          <w:szCs w:val="32"/>
        </w:rPr>
        <w:t>欧洲地区、美洲地区以及与“一带一路”沿线地区的外资项目，探索外资并购、转让经营权等利用外资新形式。</w:t>
      </w:r>
      <w:r>
        <w:rPr>
          <w:rFonts w:hint="eastAsia" w:ascii="仿宋_GB2312" w:hAnsi="仿宋_GB2312" w:eastAsia="仿宋_GB2312" w:cs="仿宋_GB2312"/>
          <w:bCs/>
          <w:szCs w:val="28"/>
        </w:rPr>
        <w:t>打造多层次、全方位开放型经济格局。</w:t>
      </w:r>
    </w:p>
    <w:p>
      <w:pPr>
        <w:spacing w:line="600" w:lineRule="exact"/>
        <w:ind w:firstLine="643"/>
        <w:rPr>
          <w:rFonts w:ascii="仿宋_GB2312" w:hAnsi="仿宋_GB2312" w:eastAsia="仿宋_GB2312" w:cs="仿宋_GB2312"/>
          <w:szCs w:val="28"/>
        </w:rPr>
      </w:pPr>
      <w:r>
        <w:rPr>
          <w:rFonts w:hint="eastAsia" w:ascii="仿宋_GB2312" w:hAnsi="仿宋_GB2312" w:eastAsia="仿宋_GB2312" w:cs="仿宋_GB2312"/>
          <w:b/>
          <w:szCs w:val="28"/>
        </w:rPr>
        <w:t>提升利用外资和对外开放水平</w:t>
      </w:r>
      <w:r>
        <w:rPr>
          <w:rFonts w:hint="eastAsia" w:ascii="仿宋_GB2312" w:hAnsi="仿宋_GB2312" w:eastAsia="仿宋_GB2312" w:cs="仿宋_GB2312"/>
          <w:szCs w:val="28"/>
        </w:rPr>
        <w:t>。综合运用国际国内两个市场、两种资源，提升资源型产品的品级和规模，</w:t>
      </w:r>
      <w:r>
        <w:rPr>
          <w:rFonts w:hint="eastAsia" w:ascii="仿宋_GB2312" w:hAnsi="仿宋_GB2312" w:eastAsia="仿宋_GB2312" w:cs="仿宋_GB2312"/>
          <w:szCs w:val="32"/>
        </w:rPr>
        <w:t>重点围绕铁法能源、燃料乙醇项目上下游配套产业；结合新能源、装备制造、再生资源等产业基地优势开展招商引资工作，</w:t>
      </w:r>
      <w:r>
        <w:rPr>
          <w:rFonts w:hint="eastAsia" w:ascii="仿宋_GB2312" w:hAnsi="仿宋_GB2312" w:eastAsia="仿宋_GB2312" w:cs="仿宋_GB2312"/>
          <w:szCs w:val="28"/>
        </w:rPr>
        <w:t>促进资金、技术、人才引进来，</w:t>
      </w:r>
      <w:r>
        <w:rPr>
          <w:rFonts w:hint="eastAsia" w:ascii="仿宋_GB2312" w:hAnsi="仿宋_GB2312" w:eastAsia="仿宋_GB2312" w:cs="仿宋_GB2312"/>
          <w:bCs/>
          <w:szCs w:val="28"/>
        </w:rPr>
        <w:t>提升产业链、供应链水平，优化外资结构，提高产业科技含量。积极引导和鼓励域内企业积极开展对外合作，提高企业对外合作意识和能力。</w:t>
      </w:r>
    </w:p>
    <w:p>
      <w:pPr>
        <w:spacing w:line="600" w:lineRule="exact"/>
        <w:ind w:firstLine="643"/>
        <w:rPr>
          <w:rFonts w:ascii="仿宋_GB2312" w:hAnsi="仿宋_GB2312" w:eastAsia="仿宋_GB2312" w:cs="仿宋_GB2312"/>
          <w:szCs w:val="28"/>
        </w:rPr>
      </w:pPr>
      <w:r>
        <w:rPr>
          <w:rFonts w:hint="eastAsia" w:ascii="仿宋_GB2312" w:hAnsi="仿宋_GB2312" w:eastAsia="仿宋_GB2312" w:cs="仿宋_GB2312"/>
          <w:b/>
          <w:bCs/>
          <w:szCs w:val="28"/>
        </w:rPr>
        <w:t>创新对外开放体制机制</w:t>
      </w:r>
      <w:r>
        <w:rPr>
          <w:rFonts w:hint="eastAsia" w:ascii="仿宋_GB2312" w:hAnsi="仿宋_GB2312" w:eastAsia="仿宋_GB2312" w:cs="仿宋_GB2312"/>
          <w:szCs w:val="28"/>
        </w:rPr>
        <w:t>。加快对外合作体制机制改革，</w:t>
      </w:r>
      <w:r>
        <w:rPr>
          <w:rFonts w:hint="eastAsia" w:ascii="仿宋_GB2312" w:hAnsi="仿宋_GB2312" w:eastAsia="仿宋_GB2312" w:cs="仿宋_GB2312"/>
          <w:szCs w:val="32"/>
        </w:rPr>
        <w:t>紧密结合铁岭实际，立足煤机装备制造、矿产、食品、农产品加工等产业的比较优势，鼓励外贸企业“走出去”，建立境外营销网络或生产加工基地，开展国际承包工程和资源开发，带动煤机等大型机械及成套设备产品出口，</w:t>
      </w:r>
      <w:r>
        <w:rPr>
          <w:rFonts w:hint="eastAsia" w:ascii="仿宋_GB2312" w:hAnsi="仿宋_GB2312" w:eastAsia="仿宋_GB2312" w:cs="仿宋_GB2312"/>
          <w:szCs w:val="28"/>
        </w:rPr>
        <w:t>进一步完善出口激励机制，用活用好各种扶持资金。</w:t>
      </w:r>
    </w:p>
    <w:p>
      <w:pPr>
        <w:spacing w:line="600" w:lineRule="exact"/>
        <w:ind w:firstLine="643"/>
        <w:rPr>
          <w:rFonts w:ascii="仿宋_GB2312" w:hAnsi="仿宋_GB2312" w:eastAsia="仿宋_GB2312" w:cs="仿宋_GB2312"/>
        </w:rPr>
      </w:pPr>
      <w:r>
        <w:rPr>
          <w:rStyle w:val="32"/>
          <w:rFonts w:hint="eastAsia" w:ascii="仿宋_GB2312" w:hAnsi="仿宋_GB2312" w:eastAsia="仿宋_GB2312" w:cs="仿宋_GB2312"/>
          <w:szCs w:val="32"/>
        </w:rPr>
        <w:t>加快对出口市场分类指导。</w:t>
      </w:r>
      <w:r>
        <w:rPr>
          <w:rStyle w:val="32"/>
          <w:rFonts w:hint="eastAsia" w:ascii="仿宋_GB2312" w:hAnsi="仿宋_GB2312" w:eastAsia="仿宋_GB2312" w:cs="仿宋_GB2312"/>
          <w:b w:val="0"/>
          <w:szCs w:val="32"/>
        </w:rPr>
        <w:t>推动进出口市场结构从传统市场为主向多元化市场转变。加强对重点行业出口分类指导，着力扩大投资类商品出口，扩大先进技术设备、关键零部件等进口，促进产业结构调整和优化升级。要积极推进出口品牌体系建设, 加快实施名牌战略。引导和支持企业制定品牌建设发展规划，开发出口品牌, 在境外注册商标、宣传品牌、申请专利, 进行国际质量标准认证和产品准入认证。</w:t>
      </w:r>
    </w:p>
    <w:p>
      <w:pPr>
        <w:pStyle w:val="4"/>
        <w:spacing w:before="0" w:after="0" w:line="600" w:lineRule="exact"/>
        <w:rPr>
          <w:rFonts w:ascii="楷体_GB2312" w:hAnsi="楷体_GB2312" w:eastAsia="楷体_GB2312" w:cs="楷体_GB2312"/>
        </w:rPr>
      </w:pPr>
      <w:bookmarkStart w:id="217" w:name="_Toc50889177"/>
      <w:bookmarkStart w:id="218" w:name="_Toc58853120"/>
      <w:bookmarkStart w:id="219" w:name="_Toc50889083"/>
      <w:r>
        <w:rPr>
          <w:rFonts w:hint="eastAsia" w:ascii="楷体_GB2312" w:hAnsi="楷体_GB2312" w:eastAsia="楷体_GB2312" w:cs="楷体_GB2312"/>
        </w:rPr>
        <w:t>第二节 主动融入沈阳都市圈</w:t>
      </w:r>
      <w:bookmarkEnd w:id="217"/>
      <w:bookmarkEnd w:id="218"/>
      <w:bookmarkEnd w:id="219"/>
    </w:p>
    <w:p>
      <w:pPr>
        <w:spacing w:line="600" w:lineRule="exact"/>
        <w:ind w:firstLine="643"/>
        <w:rPr>
          <w:rFonts w:ascii="仿宋_GB2312" w:hAnsi="仿宋_GB2312" w:eastAsia="仿宋_GB2312" w:cs="仿宋_GB2312"/>
        </w:rPr>
      </w:pPr>
      <w:r>
        <w:rPr>
          <w:rFonts w:hint="eastAsia" w:ascii="仿宋_GB2312" w:hAnsi="仿宋_GB2312" w:eastAsia="仿宋_GB2312" w:cs="仿宋_GB2312"/>
          <w:b/>
        </w:rPr>
        <w:t>全方位融入沈阳都市圈</w:t>
      </w:r>
      <w:r>
        <w:rPr>
          <w:rFonts w:hint="eastAsia" w:ascii="仿宋_GB2312" w:hAnsi="仿宋_GB2312" w:eastAsia="仿宋_GB2312" w:cs="仿宋_GB2312"/>
        </w:rPr>
        <w:t>。在园区共建、产业共育、资金共融、人才共享等方面，广泛开展深层次务实合作，推进基础设施高效互联互通建设。主动承接沈阳都市圈产业转移，以沈北新区建设北部旅游观光带为契机，主动融入沈北新区生态旅游网络为主线，协同推进西部与法库、南部与沈阳、东部与铁岭县旅游一体化，打造铁岭、沈阳的后花园，形成区域生态旅游业协同高质量发展的新格局。共同谋划区域对外通道、区域间通道等交通物流基础设施规划建设，降低产业发展物流成本。</w:t>
      </w:r>
    </w:p>
    <w:p>
      <w:pPr>
        <w:spacing w:line="600" w:lineRule="exact"/>
        <w:ind w:firstLine="643"/>
        <w:rPr>
          <w:rFonts w:ascii="仿宋_GB2312" w:hAnsi="仿宋_GB2312" w:eastAsia="仿宋_GB2312" w:cs="仿宋_GB2312"/>
          <w:bCs/>
          <w:szCs w:val="28"/>
        </w:rPr>
      </w:pPr>
      <w:r>
        <w:rPr>
          <w:rFonts w:hint="eastAsia" w:ascii="仿宋_GB2312" w:hAnsi="仿宋_GB2312" w:eastAsia="仿宋_GB2312" w:cs="仿宋_GB2312"/>
          <w:b/>
          <w:bCs/>
          <w:szCs w:val="28"/>
        </w:rPr>
        <w:t>发展康-法-调次区域经济合作</w:t>
      </w:r>
      <w:r>
        <w:rPr>
          <w:rFonts w:hint="eastAsia" w:ascii="仿宋_GB2312" w:hAnsi="仿宋_GB2312" w:eastAsia="仿宋_GB2312" w:cs="仿宋_GB2312"/>
          <w:bCs/>
          <w:szCs w:val="28"/>
        </w:rPr>
        <w:t>。积极谋划与沈阳都市圈区域协调发展新思路。发展康-法-调次区域经济合作，打造“一体化、集群化、协同化”的铁法调经济圈示范区，结合法库和康平经济开发区产业布局，谋划调兵山产业链地图，在产业链地图中找好产业分工，实施一批区域产业合作重大工程和重点项目，实现重点产业同沈阳科研、生产、营销等资源共享。同时，探索交通、产业、生态、基础设施等一体化发展。</w:t>
      </w:r>
    </w:p>
    <w:p>
      <w:pPr>
        <w:pStyle w:val="4"/>
        <w:spacing w:before="0" w:after="0" w:line="600" w:lineRule="exact"/>
        <w:rPr>
          <w:rFonts w:ascii="楷体" w:hAnsi="楷体" w:eastAsia="楷体"/>
        </w:rPr>
      </w:pPr>
      <w:bookmarkStart w:id="220" w:name="_Toc58853121"/>
      <w:bookmarkStart w:id="221" w:name="_Toc50889084"/>
      <w:bookmarkStart w:id="222" w:name="_Toc50889178"/>
      <w:r>
        <w:rPr>
          <w:rFonts w:hint="eastAsia" w:ascii="楷体_GB2312" w:hAnsi="楷体_GB2312" w:eastAsia="楷体_GB2312" w:cs="楷体_GB2312"/>
        </w:rPr>
        <w:t xml:space="preserve">第三节 </w:t>
      </w:r>
      <w:r>
        <w:fldChar w:fldCharType="begin"/>
      </w:r>
      <w:r>
        <w:instrText xml:space="preserve"> HYPERLINK \l "_Toc47623210" </w:instrText>
      </w:r>
      <w:r>
        <w:fldChar w:fldCharType="separate"/>
      </w:r>
      <w:bookmarkStart w:id="223" w:name="_Toc50887041"/>
      <w:r>
        <w:rPr>
          <w:rFonts w:hint="eastAsia" w:ascii="楷体_GB2312" w:hAnsi="楷体_GB2312" w:eastAsia="楷体_GB2312" w:cs="楷体_GB2312"/>
        </w:rPr>
        <w:t>加强区域对接合作</w:t>
      </w:r>
      <w:bookmarkEnd w:id="220"/>
      <w:bookmarkEnd w:id="221"/>
      <w:bookmarkEnd w:id="222"/>
      <w:bookmarkEnd w:id="223"/>
      <w:r>
        <w:rPr>
          <w:rFonts w:hint="eastAsia" w:ascii="楷体_GB2312" w:hAnsi="楷体_GB2312" w:eastAsia="楷体_GB2312" w:cs="楷体_GB2312"/>
        </w:rPr>
        <w:fldChar w:fldCharType="end"/>
      </w:r>
    </w:p>
    <w:p>
      <w:pPr>
        <w:spacing w:line="600" w:lineRule="exact"/>
        <w:ind w:firstLine="643"/>
        <w:rPr>
          <w:rFonts w:ascii="仿宋_GB2312" w:hAnsi="仿宋_GB2312" w:eastAsia="仿宋_GB2312" w:cs="仿宋_GB2312"/>
          <w:bCs/>
          <w:szCs w:val="28"/>
        </w:rPr>
      </w:pPr>
      <w:r>
        <w:rPr>
          <w:rFonts w:hint="eastAsia" w:ascii="仿宋_GB2312" w:hAnsi="仿宋_GB2312" w:eastAsia="仿宋_GB2312" w:cs="仿宋_GB2312"/>
          <w:b/>
          <w:bCs/>
          <w:szCs w:val="28"/>
        </w:rPr>
        <w:t>建立资源型城市承接产业转移路径。</w:t>
      </w:r>
      <w:r>
        <w:rPr>
          <w:rFonts w:hint="eastAsia" w:ascii="仿宋_GB2312" w:hAnsi="仿宋_GB2312" w:eastAsia="仿宋_GB2312" w:cs="仿宋_GB2312"/>
          <w:bCs/>
          <w:szCs w:val="28"/>
        </w:rPr>
        <w:t>积极探索资源型城市新旧动能转换的创新发展思路，依托调兵山经济开发区，以煤机装备制造产业集群为基础，重点承接煤机装备、矿山机械、医疗机械、环保设备等产业。以再生资源产业园为平台，承接循环经济产业。以新能源产业园为依托，承接新能源新材料产业。</w:t>
      </w:r>
    </w:p>
    <w:p>
      <w:pPr>
        <w:spacing w:line="600" w:lineRule="exact"/>
        <w:ind w:firstLine="643"/>
        <w:rPr>
          <w:rFonts w:ascii="仿宋_GB2312" w:hAnsi="仿宋_GB2312" w:eastAsia="仿宋_GB2312" w:cs="仿宋_GB2312"/>
          <w:bCs/>
          <w:szCs w:val="28"/>
        </w:rPr>
      </w:pPr>
      <w:r>
        <w:rPr>
          <w:rFonts w:hint="eastAsia" w:ascii="仿宋_GB2312" w:hAnsi="仿宋_GB2312" w:eastAsia="仿宋_GB2312" w:cs="仿宋_GB2312"/>
          <w:b/>
          <w:bCs/>
          <w:szCs w:val="28"/>
        </w:rPr>
        <w:t>发展“飞地经济”</w:t>
      </w:r>
      <w:r>
        <w:rPr>
          <w:rFonts w:hint="eastAsia" w:ascii="仿宋_GB2312" w:hAnsi="仿宋_GB2312" w:eastAsia="仿宋_GB2312" w:cs="仿宋_GB2312"/>
          <w:bCs/>
          <w:szCs w:val="28"/>
        </w:rPr>
        <w:t>。以产业集约集聚发展为导向，以各园区为载体，深入实施“双招双引”工程，创新“飞地经济”发展模式。不断加强“飞地园区”基础设施建设，提升园区承载能力。依托调兵山经济开发区飞地园区，承接延链、补链、强链产业转移。</w:t>
      </w:r>
    </w:p>
    <w:p>
      <w:pPr>
        <w:ind w:firstLine="640"/>
      </w:pPr>
    </w:p>
    <w:p>
      <w:pPr>
        <w:ind w:firstLine="640"/>
        <w:sectPr>
          <w:pgSz w:w="11906" w:h="16838"/>
          <w:pgMar w:top="1440" w:right="1800" w:bottom="1440" w:left="1800" w:header="851" w:footer="992" w:gutter="0"/>
          <w:cols w:space="425" w:num="1"/>
          <w:docGrid w:type="lines" w:linePitch="312" w:charSpace="0"/>
        </w:sectPr>
      </w:pPr>
    </w:p>
    <w:p>
      <w:pPr>
        <w:pStyle w:val="3"/>
        <w:keepNext w:val="0"/>
        <w:keepLines w:val="0"/>
        <w:topLinePunct/>
        <w:spacing w:before="0" w:after="0" w:line="600" w:lineRule="exact"/>
        <w:rPr>
          <w:rFonts w:ascii="黑体" w:hAnsi="黑体" w:cs="黑体"/>
          <w:b w:val="0"/>
          <w:bCs w:val="0"/>
          <w:sz w:val="32"/>
          <w:szCs w:val="32"/>
        </w:rPr>
      </w:pPr>
      <w:r>
        <w:fldChar w:fldCharType="begin"/>
      </w:r>
      <w:r>
        <w:instrText xml:space="preserve"> HYPERLINK \l "_Toc47623211" </w:instrText>
      </w:r>
      <w:r>
        <w:fldChar w:fldCharType="separate"/>
      </w:r>
      <w:bookmarkStart w:id="224" w:name="_Toc50887042"/>
      <w:bookmarkStart w:id="225" w:name="_Toc50889085"/>
      <w:bookmarkStart w:id="226" w:name="_Toc50889179"/>
      <w:bookmarkStart w:id="227" w:name="_Toc58853122"/>
      <w:r>
        <w:rPr>
          <w:rFonts w:hint="eastAsia" w:ascii="黑体" w:hAnsi="黑体" w:cs="黑体"/>
          <w:b w:val="0"/>
          <w:bCs w:val="0"/>
          <w:sz w:val="32"/>
          <w:szCs w:val="32"/>
        </w:rPr>
        <w:t>第十二章 夯实发展基础，</w:t>
      </w:r>
      <w:bookmarkEnd w:id="224"/>
      <w:bookmarkEnd w:id="225"/>
      <w:bookmarkEnd w:id="226"/>
      <w:r>
        <w:rPr>
          <w:rFonts w:hint="eastAsia" w:ascii="黑体" w:hAnsi="黑体" w:cs="黑体"/>
          <w:b w:val="0"/>
          <w:bCs w:val="0"/>
          <w:sz w:val="32"/>
          <w:szCs w:val="32"/>
        </w:rPr>
        <w:t>推进城市更新</w:t>
      </w:r>
      <w:bookmarkEnd w:id="227"/>
      <w:r>
        <w:rPr>
          <w:rFonts w:hint="eastAsia" w:ascii="黑体" w:hAnsi="黑体" w:cs="黑体"/>
          <w:b w:val="0"/>
          <w:bCs w:val="0"/>
          <w:sz w:val="32"/>
          <w:szCs w:val="32"/>
        </w:rPr>
        <w:fldChar w:fldCharType="end"/>
      </w:r>
    </w:p>
    <w:p>
      <w:pPr>
        <w:spacing w:line="600" w:lineRule="exact"/>
        <w:ind w:firstLine="640"/>
        <w:jc w:val="left"/>
        <w:rPr>
          <w:rFonts w:ascii="仿宋_GB2312" w:hAnsi="仿宋_GB2312" w:eastAsia="仿宋_GB2312" w:cs="仿宋_GB2312"/>
          <w:szCs w:val="32"/>
        </w:rPr>
      </w:pPr>
      <w:r>
        <w:rPr>
          <w:rFonts w:hint="eastAsia" w:ascii="仿宋_GB2312" w:hAnsi="仿宋_GB2312" w:eastAsia="仿宋_GB2312" w:cs="仿宋_GB2312"/>
          <w:szCs w:val="32"/>
          <w:lang w:val="zh-CN"/>
        </w:rPr>
        <w:t>落实“城市双修”和城市更新理念，以修复城市自然环境，修复城市设施、空间环境、景观风貌为目标，构筑引领未来发展的基础设施，提升对区域发展的支撑能力，加快推进交通、能源、水利、新型基础设施和城乡基础设施建设，加快老城区更新改造。</w:t>
      </w:r>
    </w:p>
    <w:p>
      <w:pPr>
        <w:pStyle w:val="4"/>
        <w:spacing w:before="0" w:after="0" w:line="600" w:lineRule="exact"/>
        <w:rPr>
          <w:rFonts w:ascii="楷体" w:hAnsi="楷体" w:eastAsia="楷体"/>
        </w:rPr>
      </w:pPr>
      <w:bookmarkStart w:id="228" w:name="_Toc58853123"/>
      <w:r>
        <w:rPr>
          <w:rFonts w:hint="eastAsia" w:ascii="楷体_GB2312" w:hAnsi="楷体_GB2312" w:eastAsia="楷体_GB2312" w:cs="楷体_GB2312"/>
        </w:rPr>
        <w:t>第一节 建设综合交通体系</w:t>
      </w:r>
      <w:bookmarkEnd w:id="228"/>
    </w:p>
    <w:p>
      <w:pPr>
        <w:spacing w:line="600" w:lineRule="exact"/>
        <w:ind w:firstLine="643"/>
        <w:rPr>
          <w:rFonts w:ascii="仿宋_GB2312" w:hAnsi="仿宋_GB2312" w:eastAsia="仿宋_GB2312" w:cs="仿宋_GB2312"/>
          <w:szCs w:val="32"/>
          <w:shd w:val="clear" w:color="auto" w:fill="FFFFFF"/>
          <w:lang w:val="zh-CN"/>
        </w:rPr>
      </w:pPr>
      <w:r>
        <w:rPr>
          <w:rFonts w:hint="eastAsia" w:ascii="仿宋_GB2312" w:hAnsi="仿宋_GB2312" w:eastAsia="仿宋_GB2312" w:cs="仿宋_GB2312"/>
          <w:b/>
          <w:bCs/>
          <w:shd w:val="clear" w:color="auto" w:fill="FFFFFF"/>
          <w:lang w:val="zh-CN"/>
        </w:rPr>
        <w:t>推动城乡交通一体化。</w:t>
      </w:r>
      <w:r>
        <w:rPr>
          <w:rFonts w:hint="eastAsia" w:ascii="仿宋_GB2312" w:hAnsi="仿宋_GB2312" w:eastAsia="仿宋_GB2312" w:cs="仿宋_GB2312"/>
          <w:bCs/>
          <w:shd w:val="clear" w:color="auto" w:fill="FFFFFF"/>
          <w:lang w:val="zh-CN"/>
        </w:rPr>
        <w:t>落实交通强国战略，</w:t>
      </w:r>
      <w:r>
        <w:rPr>
          <w:rFonts w:hint="eastAsia" w:ascii="仿宋_GB2312" w:hAnsi="仿宋_GB2312" w:eastAsia="仿宋_GB2312" w:cs="仿宋_GB2312"/>
          <w:shd w:val="clear" w:color="auto" w:fill="FFFFFF"/>
          <w:lang w:val="zh-CN"/>
        </w:rPr>
        <w:t>完善以铁路、公路为骨架的对外交通运输系统，建立对外交通系统与城市客货集散点有机联系，建设城乡综合立体交通快速网。</w:t>
      </w:r>
      <w:r>
        <w:rPr>
          <w:rFonts w:hint="eastAsia" w:ascii="仿宋_GB2312" w:hAnsi="仿宋_GB2312" w:eastAsia="仿宋_GB2312" w:cs="仿宋_GB2312"/>
        </w:rPr>
        <w:t>修建</w:t>
      </w:r>
      <w:r>
        <w:rPr>
          <w:rFonts w:hint="eastAsia" w:ascii="仿宋_GB2312" w:hAnsi="仿宋_GB2312" w:eastAsia="仿宋_GB2312" w:cs="仿宋_GB2312"/>
          <w:szCs w:val="32"/>
        </w:rPr>
        <w:t>沈阳至金堡屯铁路调兵山段，</w:t>
      </w:r>
      <w:r>
        <w:rPr>
          <w:rFonts w:hint="eastAsia" w:ascii="仿宋_GB2312" w:hAnsi="仿宋_GB2312" w:eastAsia="仿宋_GB2312" w:cs="仿宋_GB2312"/>
        </w:rPr>
        <w:t>优化区域对外交通条件。</w:t>
      </w:r>
      <w:r>
        <w:rPr>
          <w:rFonts w:hint="eastAsia" w:ascii="仿宋_GB2312" w:hAnsi="仿宋_GB2312" w:eastAsia="仿宋_GB2312" w:cs="仿宋_GB2312"/>
          <w:shd w:val="clear" w:color="auto" w:fill="FFFFFF"/>
          <w:lang w:val="zh-CN"/>
        </w:rPr>
        <w:t>拉开城市骨架，新建东外环路、沈康与调兵山连接线延伸工程，加强调兵山与沈阳市连接，形成贯穿城市南部新纽带。加快推进市内道路及铁煤移交道路中修。</w:t>
      </w:r>
      <w:r>
        <w:rPr>
          <w:rFonts w:hint="eastAsia" w:ascii="仿宋_GB2312" w:hAnsi="仿宋_GB2312" w:eastAsia="仿宋_GB2312" w:cs="仿宋_GB2312"/>
          <w:bCs/>
          <w:szCs w:val="32"/>
          <w:shd w:val="clear" w:color="auto" w:fill="FFFFFF"/>
          <w:lang w:val="zh-CN"/>
        </w:rPr>
        <w:t>形成广覆盖的农村交通基础设施网，</w:t>
      </w:r>
      <w:r>
        <w:rPr>
          <w:rFonts w:hint="eastAsia" w:ascii="仿宋_GB2312" w:hAnsi="仿宋_GB2312" w:eastAsia="仿宋_GB2312" w:cs="仿宋_GB2312"/>
          <w:szCs w:val="32"/>
          <w:shd w:val="clear" w:color="auto" w:fill="FFFFFF"/>
          <w:lang w:val="zh-CN"/>
        </w:rPr>
        <w:t>全面推进“四好农村路”建设。</w:t>
      </w:r>
    </w:p>
    <w:p>
      <w:pPr>
        <w:spacing w:line="600" w:lineRule="exact"/>
        <w:ind w:firstLine="643"/>
        <w:rPr>
          <w:rFonts w:ascii="仿宋_GB2312" w:hAnsi="仿宋_GB2312" w:eastAsia="仿宋_GB2312" w:cs="仿宋_GB2312"/>
          <w:szCs w:val="32"/>
          <w:shd w:val="clear" w:color="auto" w:fill="FFFFFF"/>
          <w:lang w:val="zh-CN"/>
        </w:rPr>
      </w:pPr>
      <w:r>
        <w:rPr>
          <w:rFonts w:hint="eastAsia" w:ascii="仿宋_GB2312" w:hAnsi="仿宋_GB2312" w:eastAsia="仿宋_GB2312" w:cs="仿宋_GB2312"/>
          <w:b/>
          <w:bCs/>
          <w:kern w:val="0"/>
          <w:szCs w:val="32"/>
        </w:rPr>
        <w:t>加快建设交通物流设施。</w:t>
      </w:r>
      <w:r>
        <w:rPr>
          <w:rFonts w:hint="eastAsia" w:ascii="仿宋_GB2312" w:hAnsi="仿宋_GB2312" w:eastAsia="仿宋_GB2312" w:cs="仿宋_GB2312"/>
          <w:kern w:val="0"/>
          <w:szCs w:val="32"/>
        </w:rPr>
        <w:t>积极发展工业物流，建设物流园区、交通物流公共信息平台，培育交通物流骨干企业和运输企业。积极提升运输装备水平，推动运输设备向标准化、专业化、清洁化方向发展。发展铁路商品车、冷藏等特种专用运输装备设备。加强多种运输方式在运输站的有效衔接与节点能力匹配，优化多式联运路径。</w:t>
      </w:r>
    </w:p>
    <w:p>
      <w:pPr>
        <w:spacing w:line="600" w:lineRule="exact"/>
        <w:ind w:firstLine="643"/>
        <w:rPr>
          <w:rFonts w:ascii="仿宋_GB2312" w:hAnsi="仿宋_GB2312" w:eastAsia="仿宋_GB2312" w:cs="仿宋_GB2312"/>
        </w:rPr>
      </w:pPr>
      <w:r>
        <w:rPr>
          <w:rFonts w:hint="eastAsia" w:ascii="仿宋_GB2312" w:hAnsi="仿宋_GB2312" w:eastAsia="仿宋_GB2312" w:cs="仿宋_GB2312"/>
          <w:b/>
        </w:rPr>
        <w:t>提升交通基础设施建设。</w:t>
      </w:r>
      <w:r>
        <w:rPr>
          <w:rFonts w:hint="eastAsia" w:ascii="仿宋_GB2312" w:hAnsi="仿宋_GB2312" w:eastAsia="仿宋_GB2312" w:cs="仿宋_GB2312"/>
        </w:rPr>
        <w:t>推进城乡客运服务一体化，改造客运新站周边地区，建设综合交通枢纽。</w:t>
      </w:r>
      <w:r>
        <w:rPr>
          <w:rFonts w:hint="eastAsia" w:ascii="仿宋_GB2312" w:hAnsi="仿宋_GB2312" w:eastAsia="仿宋_GB2312" w:cs="仿宋_GB2312"/>
          <w:szCs w:val="32"/>
        </w:rPr>
        <w:t>改善道路出行条件，完善机动车道、非机动车道、人行道“三行系统”，优化公交站点布设。</w:t>
      </w:r>
      <w:r>
        <w:rPr>
          <w:rFonts w:hint="eastAsia" w:ascii="仿宋_GB2312" w:hAnsi="仿宋_GB2312" w:eastAsia="仿宋_GB2312" w:cs="仿宋_GB2312"/>
        </w:rPr>
        <w:t>鼓励引导绿色公交出行。推进中心城区停车场建设。提升调兵山经济开发区道路及基础设施配套。</w:t>
      </w:r>
    </w:p>
    <w:p>
      <w:pPr>
        <w:pStyle w:val="6"/>
        <w:spacing w:before="156" w:after="156"/>
        <w:jc w:val="center"/>
        <w:rPr>
          <w:rFonts w:ascii="楷体" w:hAnsi="楷体" w:eastAsia="楷体"/>
          <w:sz w:val="28"/>
        </w:rPr>
      </w:pPr>
      <w:r>
        <w:rPr>
          <w:rFonts w:hint="eastAsia" w:ascii="楷体" w:hAnsi="楷体" w:eastAsia="楷体"/>
          <w:sz w:val="28"/>
        </w:rPr>
        <w:t>专栏11</w:t>
      </w:r>
      <w:r>
        <w:rPr>
          <w:rFonts w:ascii="楷体" w:hAnsi="楷体" w:eastAsia="楷体"/>
          <w:sz w:val="28"/>
        </w:rPr>
        <w:t xml:space="preserve">  </w:t>
      </w:r>
      <w:r>
        <w:rPr>
          <w:rFonts w:hint="eastAsia" w:ascii="楷体" w:hAnsi="楷体" w:eastAsia="楷体"/>
          <w:sz w:val="28"/>
        </w:rPr>
        <w:t>“十四五”期间</w:t>
      </w:r>
      <w:r>
        <w:rPr>
          <w:rFonts w:ascii="楷体" w:hAnsi="楷体" w:eastAsia="楷体"/>
          <w:sz w:val="28"/>
        </w:rPr>
        <w:t>调兵山市</w:t>
      </w:r>
      <w:r>
        <w:rPr>
          <w:rFonts w:hint="eastAsia" w:ascii="楷体" w:hAnsi="楷体" w:eastAsia="楷体"/>
          <w:sz w:val="28"/>
        </w:rPr>
        <w:t>交通领域重点工程</w:t>
      </w:r>
    </w:p>
    <w:tbl>
      <w:tblPr>
        <w:tblStyle w:val="29"/>
        <w:tblW w:w="0" w:type="auto"/>
        <w:tblInd w:w="1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5" w:type="dxa"/>
          </w:tcPr>
          <w:p>
            <w:pPr>
              <w:spacing w:line="360" w:lineRule="auto"/>
              <w:ind w:firstLine="422"/>
              <w:rPr>
                <w:rFonts w:ascii="宋体" w:hAnsi="宋体" w:eastAsia="宋体"/>
                <w:sz w:val="21"/>
                <w:szCs w:val="21"/>
              </w:rPr>
            </w:pPr>
            <w:r>
              <w:rPr>
                <w:rFonts w:hint="eastAsia" w:ascii="宋体" w:hAnsi="宋体" w:eastAsia="宋体"/>
                <w:b/>
                <w:sz w:val="21"/>
                <w:szCs w:val="21"/>
              </w:rPr>
              <w:t>1.城市门户主干道工程。</w:t>
            </w:r>
            <w:r>
              <w:rPr>
                <w:rFonts w:hint="eastAsia" w:ascii="宋体" w:hAnsi="宋体" w:eastAsia="宋体"/>
                <w:sz w:val="21"/>
                <w:szCs w:val="21"/>
              </w:rPr>
              <w:t>国道开奈线调兵山市王河桥至大冮屯段绕城改线工程（城市东外环北段）、S</w:t>
            </w:r>
            <w:r>
              <w:rPr>
                <w:rFonts w:ascii="宋体" w:hAnsi="宋体" w:eastAsia="宋体"/>
                <w:sz w:val="21"/>
                <w:szCs w:val="21"/>
              </w:rPr>
              <w:t>106</w:t>
            </w:r>
            <w:r>
              <w:rPr>
                <w:rFonts w:hint="eastAsia" w:ascii="宋体" w:hAnsi="宋体" w:eastAsia="宋体"/>
                <w:sz w:val="21"/>
                <w:szCs w:val="21"/>
              </w:rPr>
              <w:t>省道沈环线；新建沈康高速公路调兵山连接线工程；新建城市外环路；</w:t>
            </w:r>
            <w:r>
              <w:rPr>
                <w:rFonts w:hint="eastAsia" w:ascii="宋体" w:hAnsi="宋体" w:eastAsia="宋体"/>
                <w:b/>
                <w:sz w:val="21"/>
                <w:szCs w:val="21"/>
              </w:rPr>
              <w:t>2.市内道路建设工程。</w:t>
            </w:r>
            <w:r>
              <w:rPr>
                <w:rFonts w:hint="eastAsia" w:ascii="宋体" w:hAnsi="宋体" w:eastAsia="宋体"/>
                <w:sz w:val="21"/>
                <w:szCs w:val="21"/>
              </w:rPr>
              <w:t>建设环山路西外环；新建东城大街，中修站南路、站北路、站前路、矿工街、生态路、辽河街、育才路、曙光街、人民路、兴业路、弘业路、伟业路、中央大街及铁煤集团移交的六条道路；</w:t>
            </w:r>
            <w:r>
              <w:rPr>
                <w:rFonts w:hint="eastAsia" w:ascii="宋体" w:hAnsi="宋体" w:eastAsia="宋体"/>
                <w:b/>
                <w:sz w:val="21"/>
                <w:szCs w:val="21"/>
              </w:rPr>
              <w:t>3.农村公路建设工程。</w:t>
            </w:r>
            <w:r>
              <w:rPr>
                <w:rFonts w:hint="eastAsia" w:ascii="宋体" w:hAnsi="宋体" w:eastAsia="宋体"/>
                <w:sz w:val="21"/>
                <w:szCs w:val="21"/>
              </w:rPr>
              <w:t>维修乡级公路夏万线、红小线、尚刘线、尚小线；新建行政村村通道路辽孤线、后辽线、高榆线、尚沙线、顾大线、前一线、泉西线、太东线、孤西线“一事一议”等工程；</w:t>
            </w:r>
            <w:r>
              <w:rPr>
                <w:rFonts w:hint="eastAsia" w:ascii="宋体" w:hAnsi="宋体" w:eastAsia="宋体"/>
                <w:b/>
                <w:sz w:val="21"/>
                <w:szCs w:val="21"/>
              </w:rPr>
              <w:t>4.城乡交通一体化建设工程。</w:t>
            </w:r>
            <w:r>
              <w:rPr>
                <w:rFonts w:hint="eastAsia" w:ascii="宋体" w:hAnsi="宋体" w:eastAsia="宋体"/>
                <w:sz w:val="21"/>
                <w:szCs w:val="21"/>
              </w:rPr>
              <w:t>于沈环线以北、新开河以南新建第二座公交枢纽站，中心城区公交线路再扩展4条，全部更换为新能源公交车，实现“零距离换乘”；</w:t>
            </w:r>
            <w:r>
              <w:rPr>
                <w:rFonts w:hint="eastAsia" w:ascii="宋体" w:hAnsi="宋体" w:eastAsia="宋体"/>
                <w:b/>
                <w:sz w:val="21"/>
                <w:szCs w:val="21"/>
              </w:rPr>
              <w:t>5.区域铁路交通工程。</w:t>
            </w:r>
            <w:r>
              <w:rPr>
                <w:rFonts w:hint="eastAsia" w:ascii="宋体" w:hAnsi="宋体" w:eastAsia="宋体"/>
                <w:sz w:val="21"/>
                <w:szCs w:val="21"/>
              </w:rPr>
              <w:t>修建沈阳至金堡屯铁路调兵山段，途经晓南镇泉眼沟村、高力沟村、锁龙沟村。</w:t>
            </w:r>
          </w:p>
        </w:tc>
      </w:tr>
    </w:tbl>
    <w:p>
      <w:pPr>
        <w:pStyle w:val="4"/>
        <w:numPr>
          <w:ilvl w:val="0"/>
          <w:numId w:val="2"/>
        </w:numPr>
        <w:spacing w:before="0" w:after="0" w:line="600" w:lineRule="exact"/>
        <w:rPr>
          <w:rFonts w:ascii="楷体_GB2312" w:hAnsi="楷体_GB2312" w:eastAsia="楷体_GB2312" w:cs="楷体_GB2312"/>
        </w:rPr>
      </w:pPr>
      <w:r>
        <w:fldChar w:fldCharType="begin"/>
      </w:r>
      <w:r>
        <w:instrText xml:space="preserve"> HYPERLINK \l "_Toc47623213" </w:instrText>
      </w:r>
      <w:r>
        <w:fldChar w:fldCharType="separate"/>
      </w:r>
      <w:bookmarkStart w:id="229" w:name="_Toc50889181"/>
      <w:bookmarkStart w:id="230" w:name="_Toc50889087"/>
      <w:bookmarkStart w:id="231" w:name="_Toc58853124"/>
      <w:bookmarkStart w:id="232" w:name="_Toc50887044"/>
      <w:r>
        <w:rPr>
          <w:rFonts w:hint="eastAsia" w:ascii="楷体_GB2312" w:hAnsi="楷体_GB2312" w:eastAsia="楷体_GB2312" w:cs="楷体_GB2312"/>
        </w:rPr>
        <w:t>补齐水利设施短板</w:t>
      </w:r>
      <w:bookmarkEnd w:id="229"/>
      <w:bookmarkEnd w:id="230"/>
      <w:bookmarkEnd w:id="231"/>
      <w:bookmarkEnd w:id="232"/>
      <w:r>
        <w:rPr>
          <w:rFonts w:hint="eastAsia" w:ascii="楷体_GB2312" w:hAnsi="楷体_GB2312" w:eastAsia="楷体_GB2312" w:cs="楷体_GB2312"/>
        </w:rPr>
        <w:fldChar w:fldCharType="end"/>
      </w:r>
    </w:p>
    <w:p>
      <w:pPr>
        <w:spacing w:line="600" w:lineRule="exact"/>
        <w:ind w:firstLine="643"/>
        <w:rPr>
          <w:rFonts w:ascii="仿宋_GB2312" w:hAnsi="仿宋_GB2312" w:eastAsia="仿宋_GB2312" w:cs="仿宋_GB2312"/>
        </w:rPr>
      </w:pPr>
      <w:r>
        <w:rPr>
          <w:rFonts w:hint="eastAsia" w:ascii="仿宋_GB2312" w:hAnsi="仿宋_GB2312" w:eastAsia="仿宋_GB2312" w:cs="仿宋_GB2312"/>
          <w:b/>
          <w:kern w:val="0"/>
          <w:szCs w:val="32"/>
        </w:rPr>
        <w:t>完善水利防灾减灾体系。</w:t>
      </w:r>
      <w:r>
        <w:rPr>
          <w:rFonts w:hint="eastAsia" w:ascii="仿宋_GB2312" w:hAnsi="仿宋_GB2312" w:eastAsia="仿宋_GB2312" w:cs="仿宋_GB2312"/>
          <w:kern w:val="0"/>
          <w:szCs w:val="32"/>
        </w:rPr>
        <w:t>优化水资源配置体系，提高水资源承载能力，形成开发合理、配置优化的水资源保障体系。继续实施中小河流河道防洪治理工程，加快病险水库、水闸除险加固、山洪灾害易发区山洪沟治理及逃避险工程建设，提高防洪减灾能力，改善河道生态环境。重点推进调兵山市王河综合治理工程、中小河流治理工程、小型水库维修养护工程、重点山洪沟防洪治理工程等。</w:t>
      </w:r>
    </w:p>
    <w:p>
      <w:pPr>
        <w:pStyle w:val="4"/>
        <w:spacing w:before="0" w:after="0" w:line="600" w:lineRule="exact"/>
        <w:rPr>
          <w:rFonts w:ascii="楷体_GB2312" w:hAnsi="楷体_GB2312" w:eastAsia="楷体_GB2312" w:cs="楷体_GB2312"/>
        </w:rPr>
      </w:pPr>
      <w:bookmarkStart w:id="233" w:name="_Toc50889182"/>
      <w:bookmarkStart w:id="234" w:name="_Toc50889088"/>
      <w:bookmarkStart w:id="235" w:name="_Toc50887045"/>
      <w:bookmarkStart w:id="236" w:name="_Toc58853125"/>
      <w:r>
        <w:rPr>
          <w:rFonts w:hint="eastAsia" w:ascii="楷体_GB2312" w:hAnsi="楷体_GB2312" w:eastAsia="楷体_GB2312" w:cs="楷体_GB2312"/>
        </w:rPr>
        <w:t xml:space="preserve">第三节 </w:t>
      </w:r>
      <w:bookmarkEnd w:id="233"/>
      <w:bookmarkEnd w:id="234"/>
      <w:bookmarkEnd w:id="235"/>
      <w:r>
        <w:rPr>
          <w:rFonts w:hint="eastAsia" w:ascii="楷体_GB2312" w:hAnsi="楷体_GB2312" w:eastAsia="楷体_GB2312" w:cs="楷体_GB2312"/>
        </w:rPr>
        <w:t>推进新型智慧城市建设</w:t>
      </w:r>
      <w:bookmarkEnd w:id="236"/>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加快新型智慧城市建设</w:t>
      </w:r>
      <w:r>
        <w:rPr>
          <w:rFonts w:hint="eastAsia" w:ascii="仿宋_GB2312" w:hAnsi="仿宋_GB2312" w:eastAsia="仿宋_GB2312" w:cs="仿宋_GB2312"/>
          <w:szCs w:val="32"/>
        </w:rPr>
        <w:t>。</w:t>
      </w:r>
      <w:r>
        <w:rPr>
          <w:rFonts w:hint="eastAsia" w:ascii="仿宋_GB2312" w:hAnsi="仿宋_GB2312" w:eastAsia="仿宋_GB2312" w:cs="仿宋_GB2312"/>
        </w:rPr>
        <w:t>利用城市综合执法数字化管理平台指挥中心框架，以社区单元网格为管理基本单元，将城市道路、社区、门址、建筑物、企事业单位、地名等要素通过单元网格直接建立地理位置关系，建设智慧城市管理大数据基础。</w:t>
      </w:r>
      <w:r>
        <w:rPr>
          <w:rFonts w:hint="eastAsia" w:ascii="仿宋_GB2312" w:hAnsi="仿宋_GB2312" w:eastAsia="仿宋_GB2312" w:cs="仿宋_GB2312"/>
          <w:szCs w:val="32"/>
        </w:rPr>
        <w:t>整合城市市政基础设施建设管理综合平台，推动交通、城管、安保等领域视频资源整合共享，提升城市管理基础数据的智能化采集能力。融合轨道交通、道路实况、公共卫生、食品安全、水电气、金融、市场监管、经济社会风险等数据资源，联通铁岭市主要业务系统，建设调兵山市智慧城市平台。</w:t>
      </w:r>
    </w:p>
    <w:p>
      <w:pPr>
        <w:pStyle w:val="27"/>
        <w:spacing w:beforeAutospacing="0" w:afterAutospacing="0" w:line="600" w:lineRule="exact"/>
        <w:ind w:firstLine="643"/>
        <w:jc w:val="both"/>
        <w:rPr>
          <w:rFonts w:ascii="仿宋_GB2312" w:hAnsi="仿宋_GB2312" w:eastAsia="仿宋_GB2312" w:cs="仿宋_GB2312"/>
          <w:kern w:val="2"/>
          <w:sz w:val="32"/>
          <w:szCs w:val="32"/>
        </w:rPr>
      </w:pPr>
      <w:r>
        <w:rPr>
          <w:rFonts w:hint="eastAsia" w:ascii="仿宋_GB2312" w:hAnsi="仿宋_GB2312" w:eastAsia="仿宋_GB2312" w:cs="仿宋_GB2312"/>
          <w:b/>
          <w:bCs/>
          <w:kern w:val="2"/>
          <w:sz w:val="32"/>
          <w:szCs w:val="32"/>
        </w:rPr>
        <w:t>夯实新型基础设施支撑</w:t>
      </w:r>
      <w:r>
        <w:rPr>
          <w:rFonts w:hint="eastAsia" w:ascii="仿宋_GB2312" w:hAnsi="仿宋_GB2312" w:eastAsia="仿宋_GB2312" w:cs="仿宋_GB2312"/>
          <w:kern w:val="2"/>
          <w:sz w:val="32"/>
          <w:szCs w:val="32"/>
        </w:rPr>
        <w:t>。推进县城公共基础设施数字化建设改造。加快交通、水电气热等市政领域数字终端、系统改造建设。推动新型基础设施建设，加快5G网络规模部署和商业应用，推进车站、社区、商场等重点区域5G基站和配套网络建设，推进骨干网、城域网扩容，推动家庭宽带千兆、百兆接入普及。推进工业、交通、物流等重点领域物联感知设施部署。探索开展无人机、机器人运转所需配套设施建设，统筹医疗废弃物处理智能设施部署。</w:t>
      </w:r>
    </w:p>
    <w:p>
      <w:pPr>
        <w:pStyle w:val="2"/>
        <w:ind w:firstLine="360"/>
        <w:rPr>
          <w:rFonts w:ascii="仿宋_GB2312" w:hAnsi="仿宋_GB2312" w:eastAsia="仿宋_GB2312" w:cs="仿宋_GB2312"/>
        </w:rPr>
      </w:pPr>
      <w:r>
        <w:rPr>
          <w:rFonts w:hint="eastAsia" w:ascii="仿宋_GB2312" w:hAnsi="仿宋_GB2312" w:eastAsia="仿宋_GB2312" w:cs="仿宋_GB2312"/>
        </w:rPr>
        <w:br w:type="page"/>
      </w:r>
    </w:p>
    <w:p>
      <w:pPr>
        <w:pStyle w:val="3"/>
        <w:keepNext w:val="0"/>
        <w:keepLines w:val="0"/>
        <w:topLinePunct/>
        <w:spacing w:before="0" w:after="0" w:line="600" w:lineRule="exact"/>
        <w:rPr>
          <w:rFonts w:ascii="Times New Roman" w:hAnsi="Times New Roman" w:cs="Times New Roman"/>
          <w:sz w:val="32"/>
          <w:szCs w:val="32"/>
        </w:rPr>
      </w:pPr>
      <w:r>
        <w:fldChar w:fldCharType="begin"/>
      </w:r>
      <w:r>
        <w:instrText xml:space="preserve"> HYPERLINK \l "_Toc47623216" </w:instrText>
      </w:r>
      <w:r>
        <w:fldChar w:fldCharType="separate"/>
      </w:r>
      <w:bookmarkStart w:id="237" w:name="_Toc50887047"/>
      <w:bookmarkStart w:id="238" w:name="_Toc50889090"/>
      <w:bookmarkStart w:id="239" w:name="_Toc58853126"/>
      <w:bookmarkStart w:id="240" w:name="_Toc50889184"/>
      <w:r>
        <w:rPr>
          <w:rFonts w:hint="eastAsia" w:ascii="黑体" w:hAnsi="黑体" w:cs="黑体"/>
          <w:b w:val="0"/>
          <w:bCs w:val="0"/>
          <w:sz w:val="32"/>
          <w:szCs w:val="32"/>
        </w:rPr>
        <w:t>第十三章 共享发展成果，改善人民生活品质</w:t>
      </w:r>
      <w:bookmarkEnd w:id="237"/>
      <w:bookmarkEnd w:id="238"/>
      <w:bookmarkEnd w:id="239"/>
      <w:bookmarkEnd w:id="240"/>
      <w:r>
        <w:rPr>
          <w:rFonts w:hint="eastAsia" w:ascii="黑体" w:hAnsi="黑体" w:cs="黑体"/>
          <w:b w:val="0"/>
          <w:bCs w:val="0"/>
          <w:sz w:val="32"/>
          <w:szCs w:val="32"/>
        </w:rPr>
        <w:fldChar w:fldCharType="end"/>
      </w:r>
    </w:p>
    <w:p>
      <w:pPr>
        <w:spacing w:line="600" w:lineRule="exact"/>
        <w:ind w:firstLine="640"/>
        <w:rPr>
          <w:rFonts w:ascii="仿宋_GB2312" w:hAnsi="仿宋_GB2312" w:eastAsia="仿宋_GB2312" w:cs="仿宋_GB2312"/>
          <w:snapToGrid w:val="0"/>
          <w:color w:val="000000" w:themeColor="text1"/>
          <w:szCs w:val="32"/>
        </w:rPr>
      </w:pPr>
      <w:r>
        <w:rPr>
          <w:rFonts w:hint="eastAsia" w:ascii="仿宋_GB2312" w:hAnsi="仿宋_GB2312" w:eastAsia="仿宋_GB2312" w:cs="仿宋_GB2312"/>
          <w:snapToGrid w:val="0"/>
          <w:color w:val="000000" w:themeColor="text1"/>
          <w:szCs w:val="32"/>
        </w:rPr>
        <w:t>不断满足全市人民日益增长的美好生活需要，推动财力向民生集中、政策向民生倾斜、服务向民生覆盖，改善民生水平与经济发展同步，不断增强人民获得感、幸福感、安全感。</w:t>
      </w:r>
    </w:p>
    <w:p>
      <w:pPr>
        <w:pStyle w:val="4"/>
        <w:spacing w:before="0" w:after="0" w:line="600" w:lineRule="exact"/>
        <w:rPr>
          <w:rFonts w:ascii="楷体_GB2312" w:hAnsi="楷体_GB2312" w:eastAsia="楷体_GB2312" w:cs="楷体_GB2312"/>
        </w:rPr>
      </w:pPr>
      <w:bookmarkStart w:id="241" w:name="_Toc58853127"/>
      <w:r>
        <w:rPr>
          <w:rFonts w:hint="eastAsia" w:ascii="楷体_GB2312" w:hAnsi="楷体_GB2312" w:eastAsia="楷体_GB2312" w:cs="楷体_GB2312"/>
        </w:rPr>
        <w:t xml:space="preserve">第一节 </w:t>
      </w:r>
      <w:r>
        <w:fldChar w:fldCharType="begin"/>
      </w:r>
      <w:r>
        <w:instrText xml:space="preserve"> HYPERLINK \l "_Toc47623220" </w:instrText>
      </w:r>
      <w:r>
        <w:fldChar w:fldCharType="separate"/>
      </w:r>
      <w:bookmarkStart w:id="242" w:name="_Toc50889188"/>
      <w:bookmarkStart w:id="243" w:name="_Toc50889094"/>
      <w:bookmarkStart w:id="244" w:name="_Toc50887051"/>
      <w:r>
        <w:rPr>
          <w:rFonts w:hint="eastAsia" w:ascii="楷体_GB2312" w:hAnsi="楷体_GB2312" w:eastAsia="楷体_GB2312" w:cs="楷体_GB2312"/>
        </w:rPr>
        <w:t>实施就业优先战略</w:t>
      </w:r>
      <w:bookmarkEnd w:id="241"/>
      <w:bookmarkEnd w:id="242"/>
      <w:bookmarkEnd w:id="243"/>
      <w:bookmarkEnd w:id="244"/>
      <w:r>
        <w:rPr>
          <w:rFonts w:hint="eastAsia" w:ascii="楷体_GB2312" w:hAnsi="楷体_GB2312" w:eastAsia="楷体_GB2312" w:cs="楷体_GB2312"/>
        </w:rPr>
        <w:fldChar w:fldCharType="end"/>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bCs/>
          <w:szCs w:val="32"/>
          <w:shd w:val="clear" w:color="auto" w:fill="FFFFFF"/>
        </w:rPr>
        <w:t>完善公共就业服务体系。</w:t>
      </w:r>
      <w:r>
        <w:rPr>
          <w:rFonts w:hint="eastAsia" w:ascii="仿宋_GB2312" w:hAnsi="仿宋_GB2312" w:eastAsia="仿宋_GB2312" w:cs="仿宋_GB2312"/>
          <w:szCs w:val="32"/>
        </w:rPr>
        <w:t>发挥公共就业服务平台作用，</w:t>
      </w:r>
      <w:r>
        <w:rPr>
          <w:rFonts w:hint="eastAsia" w:ascii="仿宋_GB2312" w:hAnsi="仿宋_GB2312" w:eastAsia="仿宋_GB2312" w:cs="仿宋_GB2312"/>
          <w:szCs w:val="32"/>
          <w:shd w:val="clear" w:color="auto" w:fill="FFFFFF"/>
        </w:rPr>
        <w:t>打造覆盖县、乡的公益性就业服务网络，</w:t>
      </w:r>
      <w:r>
        <w:rPr>
          <w:rFonts w:hint="eastAsia" w:ascii="仿宋_GB2312" w:hAnsi="仿宋_GB2312" w:eastAsia="仿宋_GB2312" w:cs="仿宋_GB2312"/>
          <w:szCs w:val="32"/>
        </w:rPr>
        <w:t>加强市、镇/街道、社区（村）基层劳动保障服务平台建设，最终实现市、镇/街道、社区（村）三级联网。依托产业结构调整，重点在工业、旅游、物流、劳务等渠道开发就业岗位，扶持壮大中小微型企业和创业企业，加强劳动力市场预测和评估。</w:t>
      </w:r>
    </w:p>
    <w:p>
      <w:pPr>
        <w:spacing w:line="600" w:lineRule="exact"/>
        <w:ind w:firstLine="643"/>
        <w:rPr>
          <w:rFonts w:ascii="仿宋_GB2312" w:hAnsi="仿宋_GB2312" w:eastAsia="仿宋_GB2312" w:cs="仿宋_GB2312"/>
          <w:szCs w:val="32"/>
          <w:shd w:val="clear" w:color="auto" w:fill="FFFFFF"/>
        </w:rPr>
      </w:pPr>
      <w:r>
        <w:rPr>
          <w:rFonts w:hint="eastAsia" w:ascii="仿宋_GB2312" w:hAnsi="仿宋_GB2312" w:eastAsia="仿宋_GB2312" w:cs="仿宋_GB2312"/>
          <w:b/>
          <w:szCs w:val="32"/>
          <w:shd w:val="clear" w:color="auto" w:fill="FFFFFF"/>
        </w:rPr>
        <w:t>以创业带动就业</w:t>
      </w:r>
      <w:r>
        <w:rPr>
          <w:rFonts w:hint="eastAsia" w:ascii="仿宋_GB2312" w:hAnsi="仿宋_GB2312" w:eastAsia="仿宋_GB2312" w:cs="仿宋_GB2312"/>
          <w:szCs w:val="32"/>
          <w:shd w:val="clear" w:color="auto" w:fill="FFFFFF"/>
        </w:rPr>
        <w:t>。</w:t>
      </w:r>
      <w:r>
        <w:rPr>
          <w:rFonts w:hint="eastAsia" w:ascii="仿宋_GB2312" w:hAnsi="仿宋_GB2312" w:eastAsia="仿宋_GB2312" w:cs="仿宋_GB2312"/>
          <w:szCs w:val="32"/>
        </w:rPr>
        <w:t>积极选树创业带头人，加强对创业孵化基地的认定和建设工作，加大创业培训、职业技能培训，</w:t>
      </w:r>
      <w:r>
        <w:rPr>
          <w:rFonts w:hint="eastAsia" w:ascii="仿宋_GB2312" w:hAnsi="仿宋_GB2312" w:eastAsia="仿宋_GB2312" w:cs="仿宋_GB2312"/>
          <w:szCs w:val="32"/>
          <w:shd w:val="clear" w:color="auto" w:fill="FFFFFF"/>
        </w:rPr>
        <w:t>提高双创水平。充分利用社区、镇、村组闲置场地，加大创业示范村、创业园区（孵化基地）、就业扶贫车间等创业载体建设，通过提供创业政策、创业场地和创业贷款支持，鼓励农民工返乡创业和自主创业，带动农村劳动力就近就业和充分就业。</w:t>
      </w:r>
    </w:p>
    <w:p>
      <w:pPr>
        <w:spacing w:line="600" w:lineRule="exact"/>
        <w:ind w:firstLine="643"/>
        <w:rPr>
          <w:rFonts w:ascii="仿宋_GB2312" w:hAnsi="仿宋_GB2312" w:eastAsia="仿宋_GB2312" w:cs="仿宋_GB2312"/>
          <w:szCs w:val="32"/>
          <w:shd w:val="clear" w:color="auto" w:fill="FFFFFF"/>
        </w:rPr>
      </w:pPr>
      <w:r>
        <w:rPr>
          <w:rFonts w:hint="eastAsia" w:ascii="仿宋_GB2312" w:hAnsi="仿宋_GB2312" w:eastAsia="仿宋_GB2312" w:cs="仿宋_GB2312"/>
          <w:b/>
          <w:szCs w:val="32"/>
          <w:shd w:val="clear" w:color="auto" w:fill="FFFFFF"/>
        </w:rPr>
        <w:t>保障重点群体就业稳定</w:t>
      </w:r>
      <w:r>
        <w:rPr>
          <w:rFonts w:hint="eastAsia" w:ascii="仿宋_GB2312" w:hAnsi="仿宋_GB2312" w:eastAsia="仿宋_GB2312" w:cs="仿宋_GB2312"/>
          <w:szCs w:val="32"/>
          <w:shd w:val="clear" w:color="auto" w:fill="FFFFFF"/>
        </w:rPr>
        <w:t>。实施积极就业政策，</w:t>
      </w:r>
      <w:r>
        <w:rPr>
          <w:rFonts w:hint="eastAsia" w:ascii="仿宋_GB2312" w:hAnsi="仿宋_GB2312" w:eastAsia="仿宋_GB2312" w:cs="仿宋_GB2312"/>
          <w:szCs w:val="32"/>
        </w:rPr>
        <w:t>建立扶持特殊群体就业的长效工作机制，对就业援助对象实行动态管理，实行基层走访摸底调查，收集就业岗位，</w:t>
      </w:r>
      <w:r>
        <w:rPr>
          <w:rFonts w:hint="eastAsia" w:ascii="仿宋_GB2312" w:hAnsi="仿宋_GB2312" w:eastAsia="仿宋_GB2312" w:cs="仿宋_GB2312"/>
          <w:szCs w:val="32"/>
          <w:shd w:val="clear" w:color="auto" w:fill="FFFFFF"/>
        </w:rPr>
        <w:t>实现高质量、更充分就业。重点促进农民工、高校毕业生等青年群体、退役军人等就业，精准施策保持就业稳定。</w:t>
      </w:r>
      <w:r>
        <w:rPr>
          <w:rFonts w:hint="eastAsia" w:ascii="仿宋_GB2312" w:hAnsi="仿宋_GB2312" w:eastAsia="仿宋_GB2312" w:cs="仿宋_GB2312"/>
          <w:szCs w:val="32"/>
        </w:rPr>
        <w:t>确保零就业家庭动态为零。</w:t>
      </w:r>
    </w:p>
    <w:p>
      <w:pPr>
        <w:pStyle w:val="4"/>
        <w:spacing w:before="0" w:after="0" w:line="600" w:lineRule="exact"/>
        <w:rPr>
          <w:rFonts w:ascii="楷体_GB2312" w:hAnsi="楷体_GB2312" w:eastAsia="楷体_GB2312" w:cs="楷体_GB2312"/>
        </w:rPr>
      </w:pPr>
      <w:bookmarkStart w:id="245" w:name="_Toc58853128"/>
      <w:r>
        <w:rPr>
          <w:rFonts w:hint="eastAsia" w:ascii="楷体_GB2312" w:hAnsi="楷体_GB2312" w:eastAsia="楷体_GB2312" w:cs="楷体_GB2312"/>
        </w:rPr>
        <w:t xml:space="preserve">第二节 </w:t>
      </w:r>
      <w:r>
        <w:fldChar w:fldCharType="begin"/>
      </w:r>
      <w:r>
        <w:instrText xml:space="preserve"> HYPERLINK \l "_Toc47623217" </w:instrText>
      </w:r>
      <w:r>
        <w:fldChar w:fldCharType="separate"/>
      </w:r>
      <w:bookmarkStart w:id="246" w:name="_Toc50889185"/>
      <w:bookmarkStart w:id="247" w:name="_Toc50889091"/>
      <w:bookmarkStart w:id="248" w:name="_Toc50887048"/>
      <w:r>
        <w:rPr>
          <w:rFonts w:hint="eastAsia" w:ascii="楷体_GB2312" w:hAnsi="楷体_GB2312" w:eastAsia="楷体_GB2312" w:cs="楷体_GB2312"/>
        </w:rPr>
        <w:t>推进教育高质量发展</w:t>
      </w:r>
      <w:bookmarkEnd w:id="245"/>
      <w:bookmarkEnd w:id="246"/>
      <w:bookmarkEnd w:id="247"/>
      <w:bookmarkEnd w:id="248"/>
      <w:r>
        <w:rPr>
          <w:rFonts w:hint="eastAsia" w:ascii="楷体_GB2312" w:hAnsi="楷体_GB2312" w:eastAsia="楷体_GB2312" w:cs="楷体_GB2312"/>
        </w:rPr>
        <w:fldChar w:fldCharType="end"/>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构建普惠性学前教育体系</w:t>
      </w:r>
      <w:r>
        <w:rPr>
          <w:rFonts w:hint="eastAsia" w:ascii="仿宋_GB2312" w:hAnsi="仿宋_GB2312" w:eastAsia="仿宋_GB2312" w:cs="仿宋_GB2312"/>
          <w:szCs w:val="32"/>
        </w:rPr>
        <w:t>。扶持民办幼儿园提供普惠性服务，优化城乡学前教育布局，扩大学前教育资源，推进城乡学前教育资源布局一体化发展，构建以公益性、普惠性为主的学前教育公共服务体系，提高幼儿园保教质量，促进学前教育普惠优质发展。新建职教中心实训幼儿园、第十小学幼儿园、檀香湾幼儿园。</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推进义务教育优质均衡发展。</w:t>
      </w:r>
      <w:r>
        <w:rPr>
          <w:rFonts w:hint="eastAsia" w:ascii="仿宋_GB2312" w:hAnsi="仿宋_GB2312" w:eastAsia="仿宋_GB2312" w:cs="仿宋_GB2312"/>
          <w:szCs w:val="32"/>
        </w:rPr>
        <w:t>在实现市域内义务教育均衡基础上，进一步推进优质均衡。着力提升乡镇教育水平，使农村小规模学校办学条件逐步达到城区学校建设平均水平。推进随迁子女入学待遇同城化，有序扩大城镇学位供给，完善流动人口子女异地就学升学考试机制。完成中心城区学校提质改造，建设好农村小规模学校，全面推进办学条件标准化。加快教育资源优化整合，逐年实现晓南镇、大明镇及中心城区义务教育学校的优化整合。</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推动高中教育多样化特色发展。</w:t>
      </w:r>
      <w:r>
        <w:rPr>
          <w:rFonts w:hint="eastAsia" w:ascii="仿宋_GB2312" w:hAnsi="仿宋_GB2312" w:eastAsia="仿宋_GB2312" w:cs="仿宋_GB2312"/>
          <w:szCs w:val="32"/>
        </w:rPr>
        <w:t>加快第一高中示范高中和第二高中特色高中建设。加强高中学校标准化建设，全面实施新课程标准，实行以“学业水平考试＋综合素质评价”为主要依据的学生评价模式，保持高考一本、本科达线率处于全市前列。开展中小学生研学旅行，建设具有良好示范带动作用的综合实践基地和研学旅行基地。全面推进特殊教育融合发展。</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bCs/>
          <w:szCs w:val="32"/>
        </w:rPr>
        <w:t>促进素质教育内涵发展。</w:t>
      </w:r>
      <w:r>
        <w:rPr>
          <w:rFonts w:hint="eastAsia" w:ascii="仿宋_GB2312" w:hAnsi="仿宋_GB2312" w:eastAsia="仿宋_GB2312" w:cs="仿宋_GB2312"/>
          <w:szCs w:val="32"/>
        </w:rPr>
        <w:t>减轻中小学生过重课外负担，强化学生实践动手能力，丰富实践育人有效载体，广泛组织开展社会实践活动。开展中小学生研学旅行，建设具有良好示范带动作用的综合实践基地和研学旅行基地。全面推进特殊教育融合发展。</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推进职业教育振兴发展</w:t>
      </w:r>
      <w:r>
        <w:rPr>
          <w:rFonts w:hint="eastAsia" w:ascii="仿宋_GB2312" w:hAnsi="仿宋_GB2312" w:eastAsia="仿宋_GB2312" w:cs="仿宋_GB2312"/>
          <w:szCs w:val="32"/>
        </w:rPr>
        <w:t>。加强职业教育基础设施建设，完善实训设施。深化“引企入教”改革，大力推行订单培养，加快专业调整，优化专业设置，培养“双师型”教师队伍。加快推进产学研一体化，落实地方教育附加30％用于职业教育发展政策，提升职业教育服务当地经济发展能力。</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健全终身教育体系。</w:t>
      </w:r>
      <w:r>
        <w:rPr>
          <w:rFonts w:hint="eastAsia" w:ascii="仿宋_GB2312" w:hAnsi="仿宋_GB2312" w:eastAsia="仿宋_GB2312" w:cs="仿宋_GB2312"/>
          <w:szCs w:val="32"/>
        </w:rPr>
        <w:t>建立健全社区教育网络，推进终身教育，发展老年教育，促进各级各类教育纵向衔接、横向沟通，实现学历教育与非学历教育、正规教育与非正规教育、线上教育与线下教育的相互融合。加快教育现代化步伐，推进学校“互联网+教育”进程。</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加强教师队伍建设。</w:t>
      </w:r>
      <w:r>
        <w:rPr>
          <w:rFonts w:hint="eastAsia" w:ascii="仿宋_GB2312" w:hAnsi="仿宋_GB2312" w:eastAsia="仿宋_GB2312" w:cs="仿宋_GB2312"/>
          <w:szCs w:val="32"/>
        </w:rPr>
        <w:t>加大中小学教师补充力度，化解教师严重老化、结构不合理的现象。</w:t>
      </w:r>
      <w:r>
        <w:rPr>
          <w:rFonts w:hint="eastAsia" w:ascii="仿宋_GB2312" w:hAnsi="仿宋_GB2312" w:eastAsia="仿宋_GB2312" w:cs="仿宋_GB2312"/>
          <w:bCs/>
          <w:szCs w:val="32"/>
        </w:rPr>
        <w:t>优化教师资源配置，完善教师管理制度，</w:t>
      </w:r>
      <w:r>
        <w:rPr>
          <w:rFonts w:hint="eastAsia" w:ascii="仿宋_GB2312" w:hAnsi="仿宋_GB2312" w:eastAsia="仿宋_GB2312" w:cs="仿宋_GB2312"/>
          <w:szCs w:val="32"/>
        </w:rPr>
        <w:t>推进教师“县管校聘”管理体制改革。逐年提高教师培训经费投入，完善教师培养培训机制、模式和课程，增强教师培训的针对性和实效性，引导广大教师以德立身、以德立学、以德施教，</w:t>
      </w:r>
      <w:r>
        <w:rPr>
          <w:rFonts w:hint="eastAsia" w:ascii="仿宋_GB2312" w:hAnsi="仿宋_GB2312" w:eastAsia="仿宋_GB2312" w:cs="仿宋_GB2312"/>
          <w:bCs/>
          <w:szCs w:val="32"/>
        </w:rPr>
        <w:t>全面</w:t>
      </w:r>
      <w:r>
        <w:rPr>
          <w:rFonts w:hint="eastAsia" w:ascii="仿宋_GB2312" w:hAnsi="仿宋_GB2312" w:eastAsia="仿宋_GB2312" w:cs="仿宋_GB2312"/>
          <w:szCs w:val="32"/>
        </w:rPr>
        <w:t>促进教师素质提升</w:t>
      </w:r>
      <w:r>
        <w:rPr>
          <w:rFonts w:hint="eastAsia" w:ascii="仿宋_GB2312" w:hAnsi="仿宋_GB2312" w:eastAsia="仿宋_GB2312" w:cs="仿宋_GB2312"/>
          <w:b/>
          <w:bCs/>
          <w:szCs w:val="32"/>
        </w:rPr>
        <w:t>。</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推进教育信息化建设</w:t>
      </w:r>
      <w:r>
        <w:rPr>
          <w:rFonts w:hint="eastAsia" w:ascii="仿宋_GB2312" w:hAnsi="仿宋_GB2312" w:eastAsia="仿宋_GB2312" w:cs="仿宋_GB2312"/>
          <w:szCs w:val="32"/>
        </w:rPr>
        <w:t>。实施教育信息化2.0行动计划，到2025年基本实现“三全三高一大”的发展目标，即智慧校园建设覆盖全体学校、教学应用覆盖全体教师、学习应用覆盖全体学生，信息化应用水平、现代化普及水平和师生信息素养普遍提高，建成“互联网+教育”大平台，促进“互联网+教育”深度融合，初步建成智慧校园。</w:t>
      </w:r>
    </w:p>
    <w:p>
      <w:pPr>
        <w:pStyle w:val="6"/>
        <w:spacing w:before="156" w:after="156"/>
        <w:jc w:val="center"/>
        <w:rPr>
          <w:rFonts w:ascii="楷体" w:hAnsi="楷体" w:eastAsia="楷体"/>
          <w:sz w:val="28"/>
        </w:rPr>
      </w:pPr>
      <w:r>
        <w:rPr>
          <w:rFonts w:hint="eastAsia" w:ascii="楷体" w:hAnsi="楷体" w:eastAsia="楷体"/>
          <w:sz w:val="28"/>
        </w:rPr>
        <w:t>专栏12</w:t>
      </w:r>
      <w:r>
        <w:rPr>
          <w:rFonts w:ascii="楷体" w:hAnsi="楷体" w:eastAsia="楷体"/>
          <w:sz w:val="28"/>
        </w:rPr>
        <w:t xml:space="preserve">  </w:t>
      </w:r>
      <w:r>
        <w:rPr>
          <w:rFonts w:hint="eastAsia" w:ascii="楷体" w:hAnsi="楷体" w:eastAsia="楷体"/>
          <w:sz w:val="28"/>
        </w:rPr>
        <w:t>“十四五”期间</w:t>
      </w:r>
      <w:r>
        <w:rPr>
          <w:rFonts w:ascii="楷体" w:hAnsi="楷体" w:eastAsia="楷体"/>
          <w:sz w:val="28"/>
        </w:rPr>
        <w:t>调兵山市</w:t>
      </w:r>
      <w:r>
        <w:rPr>
          <w:rFonts w:hint="eastAsia" w:ascii="楷体" w:hAnsi="楷体" w:eastAsia="楷体"/>
          <w:sz w:val="28"/>
        </w:rPr>
        <w:t>教育事业重点工程</w:t>
      </w:r>
    </w:p>
    <w:tbl>
      <w:tblPr>
        <w:tblStyle w:val="29"/>
        <w:tblpPr w:leftFromText="180" w:rightFromText="180" w:vertAnchor="text" w:horzAnchor="page" w:tblpX="1875" w:tblpY="60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spacing w:line="360" w:lineRule="auto"/>
              <w:rPr>
                <w:rFonts w:ascii="宋体" w:hAnsi="宋体" w:eastAsia="宋体"/>
                <w:sz w:val="21"/>
                <w:szCs w:val="21"/>
              </w:rPr>
            </w:pPr>
            <w:r>
              <w:rPr>
                <w:rFonts w:ascii="宋体" w:hAnsi="宋体" w:eastAsia="宋体" w:cs="Times New Roman"/>
                <w:sz w:val="21"/>
                <w:szCs w:val="21"/>
              </w:rPr>
              <w:t>1.</w:t>
            </w:r>
            <w:r>
              <w:rPr>
                <w:rFonts w:hint="eastAsia" w:ascii="宋体" w:hAnsi="宋体" w:eastAsia="宋体" w:cs="Times New Roman"/>
                <w:sz w:val="21"/>
                <w:szCs w:val="21"/>
              </w:rPr>
              <w:t>塑胶操场改造全覆盖工程。</w:t>
            </w:r>
            <w:r>
              <w:rPr>
                <w:rFonts w:ascii="宋体" w:hAnsi="宋体" w:eastAsia="宋体" w:cs="Times New Roman"/>
                <w:sz w:val="21"/>
                <w:szCs w:val="21"/>
              </w:rPr>
              <w:t>8</w:t>
            </w:r>
            <w:r>
              <w:rPr>
                <w:rFonts w:hint="eastAsia" w:ascii="宋体" w:hAnsi="宋体" w:eastAsia="宋体" w:cs="Times New Roman"/>
                <w:sz w:val="21"/>
                <w:szCs w:val="21"/>
              </w:rPr>
              <w:t>所中小学校塑胶操场改造项目；第一高中、第二高中质量提升项目；第一中学风雨操场项目；</w:t>
            </w:r>
            <w:r>
              <w:rPr>
                <w:rFonts w:ascii="宋体" w:hAnsi="宋体" w:eastAsia="宋体" w:cs="Times New Roman"/>
                <w:sz w:val="21"/>
                <w:szCs w:val="21"/>
              </w:rPr>
              <w:t>2.</w:t>
            </w:r>
            <w:r>
              <w:rPr>
                <w:rFonts w:hint="eastAsia" w:ascii="宋体" w:hAnsi="宋体" w:eastAsia="宋体" w:cs="Times New Roman"/>
                <w:sz w:val="21"/>
                <w:szCs w:val="21"/>
              </w:rPr>
              <w:t>新建实训楼新建及提升工程。新建中等职业技术专业学校实训楼、职教中心产教融合技术中心项目、晓南十三小综合楼建设、调兵山市少年军校建设项目；</w:t>
            </w:r>
            <w:r>
              <w:rPr>
                <w:rFonts w:ascii="宋体" w:hAnsi="宋体" w:eastAsia="宋体" w:cs="Times New Roman"/>
                <w:sz w:val="21"/>
                <w:szCs w:val="21"/>
              </w:rPr>
              <w:t>3.</w:t>
            </w:r>
            <w:r>
              <w:rPr>
                <w:rFonts w:hint="eastAsia" w:ascii="宋体" w:hAnsi="宋体" w:eastAsia="宋体" w:cs="Times New Roman"/>
                <w:sz w:val="21"/>
                <w:szCs w:val="21"/>
              </w:rPr>
              <w:t>幼儿园建设改造提升工程。调兵山市实验幼儿园等</w:t>
            </w:r>
            <w:r>
              <w:rPr>
                <w:rFonts w:ascii="宋体" w:hAnsi="宋体" w:eastAsia="宋体" w:cs="Times New Roman"/>
                <w:sz w:val="21"/>
                <w:szCs w:val="21"/>
              </w:rPr>
              <w:t>7</w:t>
            </w:r>
            <w:r>
              <w:rPr>
                <w:rFonts w:hint="eastAsia" w:ascii="宋体" w:hAnsi="宋体" w:eastAsia="宋体" w:cs="Times New Roman"/>
                <w:sz w:val="21"/>
                <w:szCs w:val="21"/>
              </w:rPr>
              <w:t>所幼儿装修改造及设备购置；新建教育、生活用房</w:t>
            </w:r>
            <w:r>
              <w:rPr>
                <w:rFonts w:ascii="宋体" w:hAnsi="宋体" w:eastAsia="宋体" w:cs="Times New Roman"/>
                <w:sz w:val="21"/>
                <w:szCs w:val="21"/>
              </w:rPr>
              <w:t>4000</w:t>
            </w:r>
            <w:r>
              <w:rPr>
                <w:rFonts w:hint="eastAsia" w:ascii="宋体" w:hAnsi="宋体" w:eastAsia="宋体" w:cs="Times New Roman"/>
                <w:sz w:val="21"/>
                <w:szCs w:val="21"/>
              </w:rPr>
              <w:t>平方米，活动场地建设，配套设施建设及购置；</w:t>
            </w:r>
            <w:r>
              <w:rPr>
                <w:rFonts w:ascii="宋体" w:hAnsi="宋体" w:eastAsia="宋体" w:cs="Times New Roman"/>
                <w:sz w:val="21"/>
                <w:szCs w:val="21"/>
              </w:rPr>
              <w:t>4.</w:t>
            </w:r>
            <w:r>
              <w:rPr>
                <w:rFonts w:hint="eastAsia" w:ascii="宋体" w:hAnsi="宋体" w:eastAsia="宋体" w:cs="Times New Roman"/>
                <w:sz w:val="21"/>
                <w:szCs w:val="21"/>
              </w:rPr>
              <w:t>学校基础建设改造提升工程。学校消防设施整改、学校校舍屋面防水改造、学校校舍窗户更新改造、学校教学楼外墙保温改造。</w:t>
            </w:r>
          </w:p>
        </w:tc>
      </w:tr>
    </w:tbl>
    <w:p>
      <w:pPr>
        <w:pStyle w:val="4"/>
        <w:spacing w:before="0" w:after="0" w:line="360" w:lineRule="auto"/>
        <w:rPr>
          <w:rFonts w:ascii="楷体" w:hAnsi="楷体" w:eastAsia="楷体"/>
        </w:rPr>
      </w:pPr>
      <w:bookmarkStart w:id="249" w:name="_Toc58853129"/>
    </w:p>
    <w:p>
      <w:pPr>
        <w:pStyle w:val="4"/>
        <w:spacing w:before="0" w:after="0" w:line="600" w:lineRule="exact"/>
        <w:rPr>
          <w:rFonts w:ascii="楷体" w:hAnsi="楷体" w:eastAsia="楷体"/>
        </w:rPr>
      </w:pPr>
      <w:r>
        <w:rPr>
          <w:rFonts w:hint="eastAsia" w:ascii="楷体_GB2312" w:hAnsi="楷体_GB2312" w:eastAsia="楷体_GB2312" w:cs="楷体_GB2312"/>
        </w:rPr>
        <w:t xml:space="preserve">第三节 </w:t>
      </w:r>
      <w:r>
        <w:fldChar w:fldCharType="begin"/>
      </w:r>
      <w:r>
        <w:instrText xml:space="preserve"> HYPERLINK \l "_Toc47623218" </w:instrText>
      </w:r>
      <w:r>
        <w:fldChar w:fldCharType="separate"/>
      </w:r>
      <w:bookmarkStart w:id="250" w:name="_Toc50887049"/>
      <w:bookmarkStart w:id="251" w:name="_Toc50889186"/>
      <w:bookmarkStart w:id="252" w:name="_Toc50889092"/>
      <w:r>
        <w:rPr>
          <w:rFonts w:hint="eastAsia" w:ascii="楷体_GB2312" w:hAnsi="楷体_GB2312" w:eastAsia="楷体_GB2312" w:cs="楷体_GB2312"/>
        </w:rPr>
        <w:t>全面提高卫生健康水平</w:t>
      </w:r>
      <w:bookmarkEnd w:id="249"/>
      <w:bookmarkEnd w:id="250"/>
      <w:bookmarkEnd w:id="251"/>
      <w:bookmarkEnd w:id="252"/>
      <w:r>
        <w:rPr>
          <w:rFonts w:hint="eastAsia" w:ascii="楷体_GB2312" w:hAnsi="楷体_GB2312" w:eastAsia="楷体_GB2312" w:cs="楷体_GB2312"/>
        </w:rPr>
        <w:fldChar w:fldCharType="end"/>
      </w:r>
    </w:p>
    <w:p>
      <w:pPr>
        <w:spacing w:line="600" w:lineRule="exact"/>
        <w:ind w:firstLine="643"/>
        <w:rPr>
          <w:rFonts w:ascii="仿宋_GB2312" w:hAnsi="仿宋_GB2312" w:eastAsia="仿宋_GB2312" w:cs="仿宋_GB2312"/>
          <w:kern w:val="0"/>
          <w:szCs w:val="32"/>
        </w:rPr>
      </w:pPr>
      <w:r>
        <w:rPr>
          <w:rFonts w:hint="eastAsia" w:ascii="仿宋_GB2312" w:hAnsi="仿宋_GB2312" w:eastAsia="仿宋_GB2312" w:cs="仿宋_GB2312"/>
          <w:b/>
          <w:kern w:val="0"/>
          <w:szCs w:val="32"/>
        </w:rPr>
        <w:t>完善医疗卫生服务体系。</w:t>
      </w:r>
      <w:r>
        <w:rPr>
          <w:rFonts w:hint="eastAsia" w:ascii="仿宋_GB2312" w:hAnsi="仿宋_GB2312" w:eastAsia="仿宋_GB2312" w:cs="仿宋_GB2312"/>
          <w:kern w:val="0"/>
          <w:szCs w:val="32"/>
        </w:rPr>
        <w:t>加快公共卫生服务体系建设，健全突发公共卫生事件应急响应机制，建设重大传染病疫情监测和应急指挥系统，做好重点传染病防控和慢性非传染性疾病的防治工作。提高市人民医院与辽健铁煤总院防控救治综合服务能力建设。加强农村医疗卫生服务体系建设，加快完善基层医疗卫生服务体系，实现基本公共卫生服务均等化。深化城乡对口支援工作，支持三甲医院以“组团式”方式向市医院派驻人员，提升市医院综合能力。完善社区医院服务能力，推动社区医院与辖区医院信息化数据共享机制，加快推进县乡村一体化管理，逐步实现乡村医生的“县管乡用”“乡聘村用”。实现基层医疗卫生机构应用全覆盖。</w:t>
      </w:r>
    </w:p>
    <w:p>
      <w:pPr>
        <w:spacing w:line="600" w:lineRule="exact"/>
        <w:ind w:firstLine="643"/>
        <w:rPr>
          <w:rFonts w:ascii="仿宋_GB2312" w:hAnsi="仿宋_GB2312" w:eastAsia="仿宋_GB2312" w:cs="仿宋_GB2312"/>
          <w:kern w:val="0"/>
          <w:szCs w:val="32"/>
        </w:rPr>
      </w:pPr>
      <w:r>
        <w:rPr>
          <w:rFonts w:hint="eastAsia" w:ascii="仿宋_GB2312" w:hAnsi="仿宋_GB2312" w:eastAsia="仿宋_GB2312" w:cs="仿宋_GB2312"/>
          <w:b/>
          <w:kern w:val="0"/>
          <w:szCs w:val="32"/>
        </w:rPr>
        <w:t>加强重大疾病防控救治能力建设。</w:t>
      </w:r>
      <w:r>
        <w:rPr>
          <w:rFonts w:hint="eastAsia" w:ascii="仿宋_GB2312" w:hAnsi="仿宋_GB2312" w:eastAsia="仿宋_GB2312" w:cs="仿宋_GB2312"/>
          <w:kern w:val="0"/>
          <w:szCs w:val="32"/>
        </w:rPr>
        <w:t>推进分级诊疗和医联体建设。加快医疗集团网格化布局，进一步加强辽健铁煤总院与市人民医院紧密型医联体建设；加快县域医疗共同体建设，推动以辽健铁煤总院为牵头单位的县域紧密型医共体建设。建立公共卫生应急指挥中心，加强胸痛、卒中、创伤、高危孕产妇救治、高危儿童和新生儿救治等五大中心建设。完善卫生应急平台体系建设。推进“互联网+医疗救治+公共卫生服务”，推进智慧医院建设。</w:t>
      </w:r>
    </w:p>
    <w:p>
      <w:pPr>
        <w:spacing w:line="600" w:lineRule="exact"/>
        <w:ind w:firstLine="643"/>
        <w:rPr>
          <w:rFonts w:ascii="仿宋_GB2312" w:hAnsi="仿宋_GB2312" w:eastAsia="仿宋_GB2312" w:cs="仿宋_GB2312"/>
          <w:kern w:val="0"/>
          <w:szCs w:val="32"/>
        </w:rPr>
      </w:pPr>
      <w:r>
        <w:rPr>
          <w:rFonts w:hint="eastAsia" w:ascii="仿宋_GB2312" w:hAnsi="仿宋_GB2312" w:eastAsia="仿宋_GB2312" w:cs="仿宋_GB2312"/>
          <w:b/>
          <w:kern w:val="0"/>
          <w:szCs w:val="32"/>
        </w:rPr>
        <w:t>提升妇幼保健服务水平。</w:t>
      </w:r>
      <w:r>
        <w:rPr>
          <w:rFonts w:hint="eastAsia" w:ascii="仿宋_GB2312" w:hAnsi="仿宋_GB2312" w:eastAsia="仿宋_GB2312" w:cs="仿宋_GB2312"/>
          <w:kern w:val="0"/>
          <w:szCs w:val="32"/>
        </w:rPr>
        <w:t>加强县级妇幼保健妇女保健、儿童保健、计划生育门诊、孕产妇门诊“四位一体”建设，进一步完善孕产妇孕期分级管理，建立妇幼保健与医疗机构的有效衔接，完善危重孕产妇诊断救治中心建设，拓宽孕产妇应急转运救治综合服务能力。建立婴幼儿0-3周岁早教和托育园项目试点及普及。提高妇幼保健部门与辖区医院、上三级医联体的妇产科的有效对接及信息共享机制，提高智能化与远程医疗服务能力。</w:t>
      </w:r>
    </w:p>
    <w:p>
      <w:pPr>
        <w:spacing w:line="600" w:lineRule="exact"/>
        <w:ind w:firstLine="643"/>
        <w:rPr>
          <w:rFonts w:ascii="仿宋_GB2312" w:hAnsi="仿宋_GB2312" w:eastAsia="仿宋_GB2312" w:cs="仿宋_GB2312"/>
          <w:kern w:val="0"/>
          <w:szCs w:val="32"/>
        </w:rPr>
      </w:pPr>
      <w:r>
        <w:rPr>
          <w:rFonts w:hint="eastAsia" w:ascii="仿宋_GB2312" w:hAnsi="仿宋_GB2312" w:eastAsia="仿宋_GB2312" w:cs="仿宋_GB2312"/>
          <w:b/>
          <w:kern w:val="0"/>
          <w:szCs w:val="32"/>
        </w:rPr>
        <w:t>健全中医药服务体系</w:t>
      </w:r>
      <w:r>
        <w:rPr>
          <w:rFonts w:hint="eastAsia" w:ascii="仿宋_GB2312" w:hAnsi="仿宋_GB2312" w:eastAsia="仿宋_GB2312" w:cs="仿宋_GB2312"/>
          <w:kern w:val="0"/>
          <w:szCs w:val="32"/>
        </w:rPr>
        <w:t>。成立县级公立中医院，打造特色中医专科、名医诊疗特色服务，建立基层医疗卫生机构为基础，融预防保健、疾病治疗和康复于一体的中医药服务体系，提供覆盖全民和全生命周期的中医药服务。实施“互联网+中医药健康服务”行动，开发中医智能辅助诊疗系统，推动开展线上线下一体化服务和远程医疗服务。推进中医治未病健康工程升级，加强中医药质量提升和产业高质量发展。</w:t>
      </w:r>
    </w:p>
    <w:p>
      <w:pPr>
        <w:spacing w:line="600" w:lineRule="exact"/>
        <w:ind w:firstLine="640"/>
        <w:rPr>
          <w:rFonts w:ascii="仿宋_GB2312" w:hAnsi="宋体" w:eastAsia="仿宋_GB2312" w:cs="Tahoma"/>
          <w:kern w:val="0"/>
          <w:szCs w:val="32"/>
        </w:rPr>
      </w:pPr>
      <w:r>
        <w:fldChar w:fldCharType="begin"/>
      </w:r>
      <w:r>
        <w:instrText xml:space="preserve"> HYPERLINK \l "_Toc457897021" </w:instrText>
      </w:r>
      <w:r>
        <w:fldChar w:fldCharType="separate"/>
      </w:r>
      <w:r>
        <w:rPr>
          <w:rFonts w:hint="eastAsia" w:ascii="仿宋_GB2312" w:hAnsi="仿宋_GB2312" w:eastAsia="仿宋_GB2312" w:cs="仿宋_GB2312"/>
          <w:b/>
          <w:kern w:val="0"/>
          <w:szCs w:val="32"/>
        </w:rPr>
        <w:t>积极应对人口老龄化。</w:t>
      </w:r>
      <w:r>
        <w:rPr>
          <w:rFonts w:hint="eastAsia" w:ascii="仿宋_GB2312" w:hAnsi="仿宋_GB2312" w:eastAsia="仿宋_GB2312" w:cs="仿宋_GB2312"/>
          <w:kern w:val="0"/>
          <w:szCs w:val="32"/>
        </w:rPr>
        <w:t>健全老年健康服务体系。构建健康教育、预防保健、疾病诊治、康复护理、长期照护、安宁疗护的综合连续、覆盖城乡的老年健康服务体系。配合市级医疗机构加强康复和护理服务，建立完善以机构为支援、社区为依托、居家为基础的老年护理服务网络；加强长期照护，基层医疗机构探索建立从居家、社区到专业失能老年人长期照护服务模式，探索建立长期护理保险制度。</w:t>
      </w:r>
      <w:r>
        <w:rPr>
          <w:rFonts w:hint="eastAsia" w:ascii="仿宋_GB2312" w:hAnsi="仿宋_GB2312" w:eastAsia="仿宋_GB2312" w:cs="仿宋_GB2312"/>
          <w:kern w:val="0"/>
          <w:szCs w:val="32"/>
        </w:rPr>
        <w:fldChar w:fldCharType="end"/>
      </w:r>
    </w:p>
    <w:p>
      <w:pPr>
        <w:pStyle w:val="4"/>
        <w:spacing w:before="0" w:after="0" w:line="600" w:lineRule="exact"/>
        <w:rPr>
          <w:rFonts w:ascii="楷体_GB2312" w:hAnsi="楷体_GB2312" w:eastAsia="楷体_GB2312" w:cs="楷体_GB2312"/>
        </w:rPr>
      </w:pPr>
      <w:bookmarkStart w:id="253" w:name="_Toc58853130"/>
      <w:r>
        <w:rPr>
          <w:rFonts w:hint="eastAsia" w:ascii="楷体_GB2312" w:hAnsi="楷体_GB2312" w:eastAsia="楷体_GB2312" w:cs="楷体_GB2312"/>
        </w:rPr>
        <w:t>第四节 健全社会保障体系</w:t>
      </w:r>
      <w:bookmarkEnd w:id="253"/>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bCs/>
          <w:szCs w:val="32"/>
        </w:rPr>
        <w:t>健全完善社会保险制度。</w:t>
      </w:r>
      <w:r>
        <w:rPr>
          <w:rFonts w:hint="eastAsia" w:ascii="仿宋_GB2312" w:hAnsi="仿宋_GB2312" w:eastAsia="仿宋_GB2312" w:cs="仿宋_GB2312"/>
          <w:szCs w:val="32"/>
        </w:rPr>
        <w:t>全面推行城乡居民医疗保险制度，城乡居民医疗保险覆盖率达到100%；城镇职工基本养老保险参保人数达到6.7万人。对全市所有定点医疗机构、定点零售药店监督检查的全面覆盖。加大城镇职工养老保险征缴扩面，做实个人账户。推动城乡居民养老保险制度，推动贫困人员、灵活就业人员、新业态从业就业人员早参保、连续参保。落实失业保险政策。深</w:t>
      </w:r>
      <w:r>
        <w:rPr>
          <w:rFonts w:hint="eastAsia" w:ascii="仿宋_GB2312" w:hAnsi="仿宋_GB2312" w:eastAsia="仿宋_GB2312" w:cs="仿宋_GB2312"/>
          <w:kern w:val="0"/>
          <w:szCs w:val="32"/>
        </w:rPr>
        <w:t>化机关事业单位养老保险制度改革。</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bCs/>
          <w:szCs w:val="32"/>
        </w:rPr>
        <w:t>健全社会综合救助机制。</w:t>
      </w:r>
      <w:r>
        <w:rPr>
          <w:rFonts w:hint="eastAsia" w:ascii="仿宋_GB2312" w:hAnsi="仿宋_GB2312" w:eastAsia="仿宋_GB2312" w:cs="仿宋_GB2312"/>
          <w:szCs w:val="32"/>
        </w:rPr>
        <w:t>建立全方位的城乡一体救助体系，加大低收入家庭保障力度，推进低收入家庭相关救助政策有效衔接。完善临时救助制度，有效推进社会救助制度体系发展。健全以城乡低保、农村五保供养、城乡医疗救助、灾害应急救助为基础，以教育、住房、就业、司法等专项救助为辅助，以临时救助为补充的新型社会救助体系。</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bCs/>
          <w:szCs w:val="32"/>
        </w:rPr>
        <w:t>健全社会福利和社会服务。</w:t>
      </w:r>
      <w:r>
        <w:rPr>
          <w:rFonts w:hint="eastAsia" w:ascii="仿宋_GB2312" w:hAnsi="仿宋_GB2312" w:eastAsia="仿宋_GB2312" w:cs="仿宋_GB2312"/>
          <w:szCs w:val="32"/>
        </w:rPr>
        <w:t>补齐农村养老服务短板，重点增强长期照护功能，开辟失能老年人照护单元，照护型床位占比不低于50%，健全老年人津补贴制度。完善落实孤儿生活、医疗、教育、住房等各项保障制度，逐年提高孤儿基本生活养育标准。完善残疾人康复服务体制机制，积极推进社区康复中心建设。加快精神障碍社区康复服务发展。积极推进节地生态安葬工作，加快推进村级公益性公墓建设工作。</w:t>
      </w:r>
    </w:p>
    <w:p>
      <w:pPr>
        <w:pStyle w:val="2"/>
        <w:spacing w:line="600" w:lineRule="exact"/>
        <w:ind w:firstLine="360"/>
      </w:pPr>
      <w:r>
        <w:br w:type="page"/>
      </w:r>
    </w:p>
    <w:p>
      <w:pPr>
        <w:pStyle w:val="3"/>
        <w:spacing w:before="0" w:after="0" w:line="600" w:lineRule="exact"/>
        <w:rPr>
          <w:rFonts w:ascii="黑体" w:hAnsi="黑体"/>
          <w:sz w:val="36"/>
        </w:rPr>
      </w:pPr>
      <w:r>
        <w:fldChar w:fldCharType="begin"/>
      </w:r>
      <w:r>
        <w:instrText xml:space="preserve"> HYPERLINK \l "_Toc47623221" </w:instrText>
      </w:r>
      <w:r>
        <w:fldChar w:fldCharType="separate"/>
      </w:r>
      <w:bookmarkStart w:id="254" w:name="_Toc50889191"/>
      <w:bookmarkStart w:id="255" w:name="_Toc50887054"/>
      <w:bookmarkStart w:id="256" w:name="_Toc50889097"/>
      <w:bookmarkStart w:id="257" w:name="_Toc58853131"/>
      <w:r>
        <w:rPr>
          <w:rFonts w:hint="eastAsia" w:ascii="黑体" w:hAnsi="黑体" w:cs="黑体"/>
          <w:b w:val="0"/>
          <w:bCs w:val="0"/>
          <w:sz w:val="32"/>
          <w:szCs w:val="32"/>
        </w:rPr>
        <w:t>第十四章 完善治理体系，</w:t>
      </w:r>
      <w:bookmarkEnd w:id="254"/>
      <w:bookmarkEnd w:id="255"/>
      <w:bookmarkEnd w:id="256"/>
      <w:r>
        <w:rPr>
          <w:rFonts w:hint="eastAsia" w:ascii="黑体" w:hAnsi="黑体" w:cs="黑体"/>
          <w:b w:val="0"/>
          <w:bCs w:val="0"/>
          <w:sz w:val="32"/>
          <w:szCs w:val="32"/>
        </w:rPr>
        <w:t>建设平安调兵山</w:t>
      </w:r>
      <w:bookmarkEnd w:id="257"/>
      <w:r>
        <w:rPr>
          <w:rFonts w:hint="eastAsia" w:ascii="黑体" w:hAnsi="黑体" w:cs="黑体"/>
          <w:b w:val="0"/>
          <w:bCs w:val="0"/>
          <w:sz w:val="32"/>
          <w:szCs w:val="32"/>
        </w:rPr>
        <w:fldChar w:fldCharType="end"/>
      </w:r>
    </w:p>
    <w:p>
      <w:pPr>
        <w:spacing w:line="600" w:lineRule="exact"/>
        <w:ind w:firstLine="640"/>
        <w:rPr>
          <w:rFonts w:ascii="仿宋_GB2312" w:hAnsi="仿宋_GB2312" w:eastAsia="仿宋_GB2312" w:cs="仿宋_GB2312"/>
          <w:szCs w:val="32"/>
        </w:rPr>
      </w:pPr>
      <w:bookmarkStart w:id="258" w:name="_Toc50887055"/>
      <w:bookmarkStart w:id="259" w:name="_Toc46077496"/>
      <w:bookmarkStart w:id="260" w:name="_Toc50889098"/>
      <w:bookmarkStart w:id="261" w:name="_Toc19400"/>
      <w:bookmarkStart w:id="262" w:name="_Toc47623222"/>
      <w:bookmarkStart w:id="263" w:name="_Toc50889192"/>
      <w:r>
        <w:rPr>
          <w:rFonts w:hint="eastAsia" w:ascii="仿宋_GB2312" w:hAnsi="仿宋_GB2312" w:eastAsia="仿宋_GB2312" w:cs="仿宋_GB2312"/>
          <w:szCs w:val="32"/>
        </w:rPr>
        <w:t>打造共建共治共享的社会治理格局。不断创新社会治理制度，完善公共服务体系，提高社会治理社会化、法制化、智能化、专业化水平，在打造共建共治共享社会治理格局上走在全市前列。</w:t>
      </w:r>
    </w:p>
    <w:p>
      <w:pPr>
        <w:pStyle w:val="4"/>
        <w:spacing w:before="0" w:after="0" w:line="600" w:lineRule="exact"/>
        <w:rPr>
          <w:rFonts w:ascii="楷体_GB2312" w:hAnsi="楷体_GB2312" w:eastAsia="楷体_GB2312" w:cs="楷体_GB2312"/>
          <w:lang w:val="zh-CN"/>
        </w:rPr>
      </w:pPr>
      <w:bookmarkStart w:id="264" w:name="_Toc57027581"/>
      <w:bookmarkStart w:id="265" w:name="_Toc58853132"/>
      <w:bookmarkStart w:id="266" w:name="_Toc20182"/>
      <w:bookmarkStart w:id="267" w:name="_Toc8027"/>
      <w:bookmarkStart w:id="268" w:name="_Toc22067"/>
      <w:r>
        <w:rPr>
          <w:rFonts w:hint="eastAsia" w:ascii="楷体_GB2312" w:hAnsi="楷体_GB2312" w:eastAsia="楷体_GB2312" w:cs="楷体_GB2312"/>
          <w:lang w:val="zh-CN"/>
        </w:rPr>
        <w:t>第一节 全面推进依法治</w:t>
      </w:r>
      <w:bookmarkEnd w:id="264"/>
      <w:r>
        <w:rPr>
          <w:rFonts w:hint="eastAsia" w:ascii="楷体_GB2312" w:hAnsi="楷体_GB2312" w:eastAsia="楷体_GB2312" w:cs="楷体_GB2312"/>
          <w:lang w:val="zh-CN"/>
        </w:rPr>
        <w:t>市</w:t>
      </w:r>
      <w:bookmarkEnd w:id="265"/>
    </w:p>
    <w:p>
      <w:pPr>
        <w:spacing w:line="600" w:lineRule="exact"/>
        <w:ind w:firstLine="643"/>
        <w:rPr>
          <w:rFonts w:ascii="仿宋_GB2312" w:hAnsi="仿宋_GB2312" w:eastAsia="仿宋_GB2312" w:cs="仿宋_GB2312"/>
          <w:kern w:val="0"/>
          <w:szCs w:val="32"/>
        </w:rPr>
      </w:pPr>
      <w:r>
        <w:rPr>
          <w:rFonts w:hint="eastAsia" w:ascii="仿宋_GB2312" w:hAnsi="仿宋_GB2312" w:eastAsia="仿宋_GB2312" w:cs="仿宋_GB2312"/>
          <w:b/>
          <w:szCs w:val="28"/>
        </w:rPr>
        <w:t>加强法治政府建设。</w:t>
      </w:r>
      <w:r>
        <w:rPr>
          <w:rFonts w:hint="eastAsia" w:ascii="仿宋_GB2312" w:hAnsi="仿宋_GB2312" w:eastAsia="仿宋_GB2312" w:cs="仿宋_GB2312"/>
          <w:szCs w:val="28"/>
        </w:rPr>
        <w:t>明确法治政府建设年度目标、工作任务和具体措施，坚持重大行政决策程序制度，进一步健全依法决策机制，持续推动行政执法三项制度落实。</w:t>
      </w:r>
      <w:r>
        <w:rPr>
          <w:rFonts w:hint="eastAsia" w:ascii="仿宋_GB2312" w:hAnsi="仿宋_GB2312" w:eastAsia="仿宋_GB2312" w:cs="仿宋_GB2312"/>
          <w:szCs w:val="32"/>
        </w:rPr>
        <w:t>弘扬宪法精神，加快民法典实施配套工作。坚持依法行政，深化行政执法体制改革，落实行政执法责任制，合理配置执法力量，深入推进行政执法公示、执法全过程记录、重大执法决定法制审核的“三项制度”。贯彻落实国家机关“谁执法谁普法”责任制，全面建立和落实部门、行业及社会单位法治宣传教育责任，实现资源</w:t>
      </w:r>
      <w:r>
        <w:rPr>
          <w:rFonts w:hint="eastAsia" w:ascii="仿宋_GB2312" w:hAnsi="仿宋_GB2312" w:eastAsia="仿宋_GB2312" w:cs="仿宋_GB2312"/>
          <w:kern w:val="0"/>
          <w:szCs w:val="32"/>
        </w:rPr>
        <w:t>共享、齐抓共管。</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提升公共法律服务水平。</w:t>
      </w:r>
      <w:r>
        <w:rPr>
          <w:rFonts w:hint="eastAsia" w:ascii="仿宋_GB2312" w:hAnsi="仿宋_GB2312" w:eastAsia="仿宋_GB2312" w:cs="仿宋_GB2312"/>
          <w:szCs w:val="32"/>
        </w:rPr>
        <w:t>提高法律援助服务水平，针对工青妇老残、军人军属等特殊群体，实施精准援助，打造法律援助特色品牌。组织开展农民工法律援助活动，主动为农民工提供法律体检。全面加强律师执业管理工作。继续引导广大律师为重点工程、重大项目、</w:t>
      </w:r>
      <w:r>
        <w:rPr>
          <w:rFonts w:hint="eastAsia" w:ascii="仿宋_GB2312" w:hAnsi="仿宋_GB2312" w:eastAsia="仿宋_GB2312" w:cs="仿宋_GB2312"/>
          <w:bCs/>
          <w:szCs w:val="32"/>
        </w:rPr>
        <w:t>民营企业依法经营</w:t>
      </w:r>
      <w:r>
        <w:rPr>
          <w:rFonts w:hint="eastAsia" w:ascii="仿宋_GB2312" w:hAnsi="仿宋_GB2312" w:eastAsia="仿宋_GB2312" w:cs="仿宋_GB2312"/>
          <w:szCs w:val="32"/>
        </w:rPr>
        <w:t>提供法律服务和法治保障。严格司法鉴定管理工作。强化鉴定机构和鉴定人教育管理，提高司法鉴定质量和公信力。</w:t>
      </w:r>
    </w:p>
    <w:p>
      <w:pPr>
        <w:pStyle w:val="4"/>
        <w:spacing w:before="120" w:after="120" w:line="600" w:lineRule="exact"/>
        <w:rPr>
          <w:rFonts w:ascii="楷体_GB2312" w:hAnsi="楷体_GB2312" w:eastAsia="楷体_GB2312" w:cs="楷体_GB2312"/>
          <w:lang w:val="zh-CN"/>
        </w:rPr>
      </w:pPr>
      <w:bookmarkStart w:id="269" w:name="_Toc58853133"/>
      <w:bookmarkStart w:id="270" w:name="_Toc57027582"/>
      <w:r>
        <w:rPr>
          <w:rFonts w:hint="eastAsia" w:ascii="楷体_GB2312" w:hAnsi="楷体_GB2312" w:eastAsia="楷体_GB2312" w:cs="楷体_GB2312"/>
          <w:lang w:val="zh-CN"/>
        </w:rPr>
        <w:t xml:space="preserve">第二节 </w:t>
      </w:r>
      <w:bookmarkEnd w:id="266"/>
      <w:bookmarkEnd w:id="267"/>
      <w:bookmarkEnd w:id="268"/>
      <w:r>
        <w:rPr>
          <w:rFonts w:hint="eastAsia" w:ascii="楷体_GB2312" w:hAnsi="楷体_GB2312" w:eastAsia="楷体_GB2312" w:cs="楷体_GB2312"/>
          <w:lang w:val="zh-CN"/>
        </w:rPr>
        <w:t>提高基层治理能力</w:t>
      </w:r>
      <w:bookmarkEnd w:id="269"/>
      <w:bookmarkEnd w:id="270"/>
    </w:p>
    <w:p>
      <w:pPr>
        <w:spacing w:line="600" w:lineRule="exact"/>
        <w:ind w:firstLine="643"/>
        <w:rPr>
          <w:rFonts w:ascii="仿宋_GB2312" w:hAnsi="仿宋_GB2312" w:eastAsia="仿宋_GB2312" w:cs="仿宋_GB2312"/>
          <w:szCs w:val="32"/>
        </w:rPr>
      </w:pPr>
      <w:bookmarkStart w:id="271" w:name="_Toc52788603"/>
      <w:bookmarkStart w:id="272" w:name="_Toc53085162"/>
      <w:r>
        <w:rPr>
          <w:rFonts w:hint="eastAsia" w:ascii="仿宋_GB2312" w:hAnsi="仿宋_GB2312" w:eastAsia="仿宋_GB2312" w:cs="仿宋_GB2312"/>
          <w:b/>
        </w:rPr>
        <w:t>完善基层治理体系。</w:t>
      </w:r>
      <w:r>
        <w:rPr>
          <w:rFonts w:hint="eastAsia" w:ascii="仿宋_GB2312" w:hAnsi="仿宋_GB2312" w:eastAsia="仿宋_GB2312" w:cs="仿宋_GB2312"/>
        </w:rPr>
        <w:t>党建引领基层治理</w:t>
      </w:r>
      <w:bookmarkEnd w:id="271"/>
      <w:bookmarkEnd w:id="272"/>
      <w:r>
        <w:rPr>
          <w:rFonts w:hint="eastAsia" w:ascii="仿宋_GB2312" w:hAnsi="仿宋_GB2312" w:eastAsia="仿宋_GB2312" w:cs="仿宋_GB2312"/>
        </w:rPr>
        <w:t>。</w:t>
      </w:r>
      <w:r>
        <w:rPr>
          <w:rFonts w:hint="eastAsia" w:ascii="仿宋_GB2312" w:hAnsi="仿宋_GB2312" w:eastAsia="仿宋_GB2312" w:cs="仿宋_GB2312"/>
          <w:szCs w:val="32"/>
        </w:rPr>
        <w:t>规范城乡社区基层群众性自治组织协助政府工作事项，推动政府行政管理与基层群众自治有效衔接和良性互动。依法开展社区居（村）委会换届选举指导，选好配强村（居）委会班子。健全城乡社区民主协商机制，推进城乡社区民主协商制度化。打造专兼结合、质量并重的新型社区工作队伍</w:t>
      </w:r>
      <w:r>
        <w:rPr>
          <w:rFonts w:hint="eastAsia" w:ascii="仿宋_GB2312" w:hAnsi="仿宋_GB2312" w:eastAsia="仿宋_GB2312" w:cs="仿宋_GB2312"/>
        </w:rPr>
        <w:t>，推进县域社会治理现代化</w:t>
      </w:r>
      <w:r>
        <w:rPr>
          <w:rFonts w:hint="eastAsia" w:ascii="仿宋_GB2312" w:hAnsi="仿宋_GB2312" w:eastAsia="仿宋_GB2312" w:cs="仿宋_GB2312"/>
          <w:szCs w:val="32"/>
        </w:rPr>
        <w:t>。</w:t>
      </w:r>
      <w:bookmarkEnd w:id="258"/>
      <w:bookmarkEnd w:id="259"/>
      <w:bookmarkEnd w:id="260"/>
      <w:bookmarkEnd w:id="261"/>
      <w:bookmarkEnd w:id="262"/>
      <w:bookmarkEnd w:id="263"/>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推进城乡社区服务体系建设。</w:t>
      </w:r>
      <w:r>
        <w:rPr>
          <w:rFonts w:hint="eastAsia" w:ascii="仿宋_GB2312" w:hAnsi="仿宋_GB2312" w:eastAsia="仿宋_GB2312" w:cs="仿宋_GB2312"/>
          <w:szCs w:val="32"/>
        </w:rPr>
        <w:t>着力增强社区管理体制建设，推行网格化管理和服务。建成以社区综合服务设施为主体、各类专项服务设施相配套的综合性、多功能的城乡社区服务设施网络，有效集聚社区生活性服务资源。推动社区服务信息化和智能化，推进“互联网+社区”和“智慧社区”建设。引导社会组织、专业社会工作专业人才、志愿服务组织进入城乡社区。引导驻社区企事业单位和社区社会组织有序参与社区发展，开创共建、共治、共享的社区治理新局面。</w:t>
      </w:r>
    </w:p>
    <w:p>
      <w:pPr>
        <w:pStyle w:val="4"/>
        <w:spacing w:before="0" w:after="0" w:line="600" w:lineRule="exact"/>
        <w:rPr>
          <w:rFonts w:ascii="楷体_GB2312" w:hAnsi="楷体_GB2312" w:eastAsia="楷体_GB2312" w:cs="楷体_GB2312"/>
          <w:bCs w:val="0"/>
        </w:rPr>
      </w:pPr>
      <w:bookmarkStart w:id="273" w:name="_Toc50889096"/>
      <w:bookmarkStart w:id="274" w:name="_Toc50889190"/>
      <w:bookmarkStart w:id="275" w:name="_Toc58853134"/>
      <w:bookmarkStart w:id="276" w:name="_Toc50887053"/>
      <w:r>
        <w:rPr>
          <w:rFonts w:hint="eastAsia" w:ascii="楷体_GB2312" w:hAnsi="楷体_GB2312" w:eastAsia="楷体_GB2312" w:cs="楷体_GB2312"/>
          <w:bCs w:val="0"/>
        </w:rPr>
        <w:t>第三节 建设平安调兵山</w:t>
      </w:r>
      <w:bookmarkEnd w:id="273"/>
      <w:bookmarkEnd w:id="274"/>
      <w:bookmarkEnd w:id="275"/>
      <w:bookmarkEnd w:id="276"/>
    </w:p>
    <w:p>
      <w:pPr>
        <w:spacing w:line="600" w:lineRule="exact"/>
        <w:ind w:firstLine="643"/>
        <w:rPr>
          <w:rFonts w:ascii="仿宋_GB2312" w:hAnsi="仿宋_GB2312" w:eastAsia="仿宋_GB2312" w:cs="仿宋_GB2312"/>
          <w:szCs w:val="32"/>
          <w:highlight w:val="yellow"/>
        </w:rPr>
      </w:pPr>
      <w:r>
        <w:rPr>
          <w:rFonts w:hint="eastAsia" w:ascii="仿宋_GB2312" w:hAnsi="仿宋_GB2312" w:eastAsia="仿宋_GB2312" w:cs="仿宋_GB2312"/>
          <w:b/>
          <w:bCs/>
          <w:szCs w:val="32"/>
        </w:rPr>
        <w:t>完善社会治安防控体系</w:t>
      </w:r>
      <w:r>
        <w:rPr>
          <w:rFonts w:hint="eastAsia" w:ascii="仿宋_GB2312" w:hAnsi="仿宋_GB2312" w:eastAsia="仿宋_GB2312" w:cs="仿宋_GB2312"/>
          <w:szCs w:val="32"/>
        </w:rPr>
        <w:t>。建设治安防控识别圈。升级改造公安检查站、治安卡口、电子卡口等设施，实现全域封闭、常态、采集、触圈预警。强化街面专职巡防力量建设。升级改造街面巡防警务工作站，加强街面巡防力量装备建设。推荐智慧安防建设。继续优化公共区域、重点区域视频监控建设，加强对重点区域人脸识别、车辆识别系统建设；全面推进智慧小区（村屯）建设，推广人脸识别、视频监控等在小区治安、公共交通、娱乐场所、特种行业等领域的应用，实现公交场站、视频监控、人脸识别全覆盖，实现客车、出租车视频监控全覆盖。</w:t>
      </w:r>
    </w:p>
    <w:p>
      <w:pPr>
        <w:spacing w:line="600" w:lineRule="exact"/>
        <w:ind w:firstLine="643"/>
        <w:rPr>
          <w:rFonts w:ascii="仿宋_GB2312" w:hAnsi="仿宋_GB2312" w:eastAsia="仿宋_GB2312" w:cs="仿宋_GB2312"/>
          <w:szCs w:val="32"/>
        </w:rPr>
      </w:pPr>
      <w:bookmarkStart w:id="277" w:name="_Toc50889103"/>
      <w:bookmarkStart w:id="278" w:name="_Toc50889197"/>
      <w:bookmarkStart w:id="279" w:name="_Toc50887060"/>
      <w:bookmarkStart w:id="280" w:name="_Toc46077501"/>
      <w:bookmarkStart w:id="281" w:name="_Toc47623227"/>
      <w:r>
        <w:rPr>
          <w:rFonts w:hint="eastAsia" w:ascii="仿宋_GB2312" w:hAnsi="仿宋_GB2312" w:eastAsia="仿宋_GB2312" w:cs="仿宋_GB2312"/>
          <w:b/>
        </w:rPr>
        <w:t>完善安全生产责任体系。</w:t>
      </w:r>
      <w:r>
        <w:rPr>
          <w:rFonts w:hint="eastAsia" w:ascii="仿宋_GB2312" w:hAnsi="仿宋_GB2312" w:eastAsia="仿宋_GB2312" w:cs="仿宋_GB2312"/>
          <w:szCs w:val="32"/>
        </w:rPr>
        <w:t>建设安全生产网格化体系。全面推行企业“五落实五到位”，建立“横向到边、纵向到底”的安全生产责任体系。创新监管方式，完善安全生产监督检查任务、隐患和问题、整改工作、复查验收等“四个清单”，实现隐患闭环管理。在安全生产执法领域开展“互联网+”行动。加强企业安全生产诚信体系建设，加强安全生产目标责任考核。推进安全生产社会化服务工作，鼓励政府购买服务。改进小微工矿企业的安全监管方式，引导第三方技术服务机构、行业协会、企业等社会各方力量共同参与安全管理。</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建立城市安全风险预警体系。</w:t>
      </w:r>
      <w:r>
        <w:rPr>
          <w:rFonts w:hint="eastAsia" w:ascii="仿宋_GB2312" w:hAnsi="仿宋_GB2312" w:eastAsia="仿宋_GB2312" w:cs="仿宋_GB2312"/>
          <w:szCs w:val="32"/>
        </w:rPr>
        <w:t>建立城市地下管网、燃气、供水、供电设施，以及重大危险源等数据库，强化生产及相关领域重点环节、重点地区风险管理，提高安全风险预警、防控和应急能力。开展工业园区工程建设风险评估与分析，实现从建设到运营的全过程安全风险预控管理。提高企业安全准入条件和建设标准，建立区域安全生产负面清单动态管理机制。推进企业安全生产标准化建设。</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强化重点行业领域安全管理。</w:t>
      </w:r>
      <w:r>
        <w:rPr>
          <w:rFonts w:hint="eastAsia" w:ascii="仿宋_GB2312" w:hAnsi="仿宋_GB2312" w:eastAsia="仿宋_GB2312" w:cs="仿宋_GB2312"/>
          <w:szCs w:val="32"/>
        </w:rPr>
        <w:t>开展非煤矿山安全生产基本情况普查，建立电子档案，提高非煤矿山安全监管信息化水平。加强危险化学品生产、储存、经营、使用和运输等环节安全管控，加强化工企业防泄漏管理、罐区整治和隐患排查，全面提升化工企业安全保障能力和应急处置能力。强化冶金、机械、轻工、建材、纺织、烟草和商贸等行业事故隐患排查治理。严厉打击烟花爆竹非法生产经营活动。</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强化消防安全管理。</w:t>
      </w:r>
      <w:r>
        <w:rPr>
          <w:rFonts w:hint="eastAsia" w:ascii="仿宋_GB2312" w:hAnsi="仿宋_GB2312" w:eastAsia="仿宋_GB2312" w:cs="仿宋_GB2312"/>
          <w:szCs w:val="32"/>
        </w:rPr>
        <w:t>深化单位消防安全实施标准化管理，落实消防安全各项责任制度。完善消防法规、规章和标准规范体系。加强消防安全重点管控。排查治理消防安全隐患，推动智慧城市消防建设。建设全市智慧化消防预警、接入智慧消防系统，实现智慧消防安全管理的全覆盖。</w:t>
      </w:r>
    </w:p>
    <w:p>
      <w:pPr>
        <w:pStyle w:val="4"/>
        <w:spacing w:before="0" w:after="0" w:line="600" w:lineRule="exact"/>
        <w:rPr>
          <w:rFonts w:ascii="楷体" w:hAnsi="楷体" w:eastAsia="楷体"/>
        </w:rPr>
      </w:pPr>
      <w:bookmarkStart w:id="282" w:name="_Toc58853135"/>
      <w:r>
        <w:rPr>
          <w:rFonts w:hint="eastAsia" w:ascii="楷体_GB2312" w:hAnsi="楷体_GB2312" w:eastAsia="楷体_GB2312" w:cs="楷体_GB2312"/>
        </w:rPr>
        <w:t>第四节 完善应急管理</w:t>
      </w:r>
      <w:bookmarkEnd w:id="277"/>
      <w:bookmarkEnd w:id="278"/>
      <w:bookmarkEnd w:id="279"/>
      <w:bookmarkEnd w:id="280"/>
      <w:bookmarkEnd w:id="281"/>
      <w:r>
        <w:rPr>
          <w:rFonts w:hint="eastAsia" w:ascii="楷体_GB2312" w:hAnsi="楷体_GB2312" w:eastAsia="楷体_GB2312" w:cs="楷体_GB2312"/>
        </w:rPr>
        <w:t>体系</w:t>
      </w:r>
      <w:bookmarkEnd w:id="282"/>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完善应急救援服务体系</w:t>
      </w:r>
      <w:r>
        <w:rPr>
          <w:rFonts w:hint="eastAsia" w:ascii="仿宋_GB2312" w:hAnsi="仿宋_GB2312" w:eastAsia="仿宋_GB2312" w:cs="仿宋_GB2312"/>
          <w:b/>
        </w:rPr>
        <w:t>。</w:t>
      </w:r>
      <w:r>
        <w:rPr>
          <w:rFonts w:hint="eastAsia" w:ascii="仿宋_GB2312" w:hAnsi="仿宋_GB2312" w:eastAsia="仿宋_GB2312" w:cs="仿宋_GB2312"/>
          <w:szCs w:val="32"/>
        </w:rPr>
        <w:t>健全应急管理服务体系，加强各级安全生产应急管理机构建设。完善应急平台功能，实现多部门互联互通和资源共享，建立联动机制。探索多元化投入机制，依托企业加强专兼职应急队伍建设，建立应急救援联合体，加强危化品的专业消防力量，建立覆盖全市的生产安全事故应急救援体系。强化应急预案制修订工作，建立应急预案响应联动机制，确保应急预案有效实施。</w:t>
      </w:r>
    </w:p>
    <w:p>
      <w:pPr>
        <w:pStyle w:val="52"/>
        <w:spacing w:line="600" w:lineRule="exact"/>
        <w:rPr>
          <w:rFonts w:ascii="仿宋_GB2312" w:hAnsi="仿宋_GB2312" w:eastAsia="仿宋_GB2312" w:cs="仿宋_GB2312"/>
          <w:shd w:val="clear" w:color="auto" w:fill="FFFFFF"/>
        </w:rPr>
      </w:pPr>
      <w:r>
        <w:rPr>
          <w:rFonts w:hint="eastAsia" w:ascii="仿宋_GB2312" w:hAnsi="仿宋_GB2312" w:eastAsia="仿宋_GB2312" w:cs="仿宋_GB2312"/>
          <w:b/>
        </w:rPr>
        <w:t>完善应急救援队伍建设</w:t>
      </w:r>
      <w:r>
        <w:rPr>
          <w:rFonts w:hint="eastAsia" w:ascii="仿宋_GB2312" w:hAnsi="仿宋_GB2312" w:eastAsia="仿宋_GB2312" w:cs="仿宋_GB2312"/>
        </w:rPr>
        <w:t>。</w:t>
      </w:r>
      <w:r>
        <w:rPr>
          <w:rFonts w:hint="eastAsia" w:ascii="仿宋_GB2312" w:hAnsi="仿宋_GB2312" w:eastAsia="仿宋_GB2312" w:cs="仿宋_GB2312"/>
          <w:shd w:val="clear" w:color="auto" w:fill="FFFFFF"/>
        </w:rPr>
        <w:t>建设以综合消防救援队伍为主力、专业救援队伍为协同、社会救援为辅助的应急救援队伍，加强矿山和危险化学品等应急队伍建设。建设应急管理专家智库，为应对全灾种、实施大救援提供智力支持。强化区域应急救援资源共享，提升重大灾害事故应急救援能力。</w:t>
      </w:r>
    </w:p>
    <w:p>
      <w:pPr>
        <w:pStyle w:val="52"/>
        <w:spacing w:line="600" w:lineRule="exact"/>
        <w:rPr>
          <w:rFonts w:ascii="仿宋_GB2312" w:hAnsi="仿宋_GB2312" w:eastAsia="仿宋_GB2312" w:cs="仿宋_GB2312"/>
        </w:rPr>
      </w:pPr>
      <w:r>
        <w:rPr>
          <w:rFonts w:hint="eastAsia" w:ascii="仿宋_GB2312" w:hAnsi="仿宋_GB2312" w:eastAsia="仿宋_GB2312" w:cs="仿宋_GB2312"/>
          <w:b/>
        </w:rPr>
        <w:t>加强应急设备和救灾物资储备。</w:t>
      </w:r>
      <w:r>
        <w:rPr>
          <w:rFonts w:hint="eastAsia" w:ascii="仿宋_GB2312" w:hAnsi="仿宋_GB2312" w:eastAsia="仿宋_GB2312" w:cs="仿宋_GB2312"/>
          <w:shd w:val="clear" w:color="auto" w:fill="FFFFFF"/>
        </w:rPr>
        <w:t>健全多元救灾物资储备体系。</w:t>
      </w:r>
      <w:r>
        <w:rPr>
          <w:rFonts w:hint="eastAsia" w:ascii="仿宋_GB2312" w:hAnsi="仿宋_GB2312" w:eastAsia="仿宋_GB2312" w:cs="仿宋_GB2312"/>
        </w:rPr>
        <w:t>加快开展应急物资储备仓库规划、选址和建设；完善商业应急储备物资机制，建立物资保障应急联动机制；探索建立快捷高效的物资调拨调运模式，形成布局合理、点面结合的应急物资保障体系。加大防汛抗旱、森林防火、地质灾害和消防救援应急物资整合力度。</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rPr>
        <w:t>建设应急避护场所。</w:t>
      </w:r>
      <w:r>
        <w:rPr>
          <w:rFonts w:hint="eastAsia" w:ascii="仿宋_GB2312" w:hAnsi="仿宋_GB2312" w:eastAsia="仿宋_GB2312" w:cs="仿宋_GB2312"/>
          <w:szCs w:val="32"/>
        </w:rPr>
        <w:t>建立市、乡镇（街道）二级应急避护场所体系。制定相关法规政策，建立健全应急避护场所建设和管理的长效机制。合理确定应急疏散和应急避护场所的分布，统筹安排应急避护场所必需的交通、供水、供电、排污等基础设施建设。每个应急避护场所按照规划的面积标准、人均用地指标、场所用地设置要求、服务半径等配套建设应急救援设施、设备，储备应急物资，设置相关标识。</w:t>
      </w:r>
    </w:p>
    <w:p>
      <w:pPr>
        <w:pStyle w:val="6"/>
        <w:spacing w:before="156" w:after="156"/>
        <w:jc w:val="center"/>
        <w:rPr>
          <w:rFonts w:ascii="楷体" w:hAnsi="楷体" w:eastAsia="楷体"/>
          <w:sz w:val="28"/>
        </w:rPr>
      </w:pPr>
      <w:r>
        <w:rPr>
          <w:rFonts w:hint="eastAsia" w:ascii="楷体" w:hAnsi="楷体" w:eastAsia="楷体"/>
          <w:sz w:val="28"/>
        </w:rPr>
        <w:t>专栏 13</w:t>
      </w:r>
      <w:r>
        <w:rPr>
          <w:rFonts w:ascii="楷体" w:hAnsi="楷体" w:eastAsia="楷体"/>
          <w:sz w:val="28"/>
        </w:rPr>
        <w:t xml:space="preserve">  </w:t>
      </w:r>
      <w:r>
        <w:rPr>
          <w:rFonts w:hint="eastAsia" w:ascii="楷体" w:hAnsi="楷体" w:eastAsia="楷体"/>
          <w:sz w:val="28"/>
        </w:rPr>
        <w:t>“十四五”时期建设平安调兵山市重点工程</w:t>
      </w:r>
    </w:p>
    <w:tbl>
      <w:tblPr>
        <w:tblStyle w:val="29"/>
        <w:tblpPr w:leftFromText="180" w:rightFromText="180" w:vertAnchor="text" w:horzAnchor="page" w:tblpX="1830" w:tblpY="524"/>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spacing w:line="360" w:lineRule="auto"/>
              <w:rPr>
                <w:rFonts w:ascii="宋体" w:hAnsi="宋体" w:eastAsia="宋体"/>
                <w:sz w:val="21"/>
                <w:szCs w:val="21"/>
              </w:rPr>
            </w:pPr>
            <w:r>
              <w:rPr>
                <w:rFonts w:hint="eastAsia" w:ascii="宋体" w:hAnsi="宋体" w:eastAsia="宋体"/>
                <w:sz w:val="21"/>
                <w:szCs w:val="21"/>
              </w:rPr>
              <w:t>1.应急指挥调度平台建设工程：市政府综合应急指挥平台建设、应急指挥视频调度系统建设、应急指挥窄带无线通信建设；2.危险化学品风险监测预警系统建设工程；3.“互联网+执法”系统建设工程。安全生产信息化建设工程、应急基础信息汇聚融合工程、“互联网+执法”系统联动工程；4.城市安全保障能力建设工程；5.应急救援能力建设工程；6.安全生产监管基础设施与装备配备建设工程；7.安全生产宣传教育基地建设工程：安全生产培训工程、全民安全素质提升工程；8.安全诚信体系建设工程。9. 智慧城市消防建设工程。全市安装不少于1500个智能监控点。</w:t>
            </w:r>
          </w:p>
        </w:tc>
      </w:tr>
    </w:tbl>
    <w:p>
      <w:pPr>
        <w:pStyle w:val="2"/>
        <w:ind w:firstLine="360"/>
        <w:rPr>
          <w:rFonts w:eastAsia="黑体"/>
          <w:kern w:val="44"/>
          <w:szCs w:val="44"/>
        </w:rPr>
      </w:pPr>
      <w:bookmarkStart w:id="283" w:name="_Toc46077502"/>
      <w:bookmarkStart w:id="284" w:name="_Toc50887061"/>
      <w:bookmarkStart w:id="285" w:name="_Toc50889198"/>
      <w:bookmarkStart w:id="286" w:name="_Toc16858"/>
      <w:bookmarkStart w:id="287" w:name="_Toc50889104"/>
      <w:bookmarkStart w:id="288" w:name="_Toc47623228"/>
      <w:r>
        <w:br w:type="page"/>
      </w:r>
    </w:p>
    <w:bookmarkEnd w:id="283"/>
    <w:bookmarkEnd w:id="284"/>
    <w:bookmarkEnd w:id="285"/>
    <w:bookmarkEnd w:id="286"/>
    <w:bookmarkEnd w:id="287"/>
    <w:bookmarkEnd w:id="288"/>
    <w:p>
      <w:pPr>
        <w:pStyle w:val="3"/>
        <w:keepNext w:val="0"/>
        <w:keepLines w:val="0"/>
        <w:topLinePunct/>
        <w:spacing w:before="0" w:after="0" w:line="600" w:lineRule="exact"/>
        <w:rPr>
          <w:rFonts w:ascii="黑体" w:hAnsi="黑体" w:cs="黑体"/>
          <w:b w:val="0"/>
          <w:bCs w:val="0"/>
          <w:sz w:val="32"/>
          <w:szCs w:val="32"/>
        </w:rPr>
      </w:pPr>
      <w:bookmarkStart w:id="289" w:name="_Toc57027585"/>
      <w:bookmarkStart w:id="290" w:name="_Toc58853136"/>
      <w:bookmarkStart w:id="291" w:name="_Toc55824647"/>
      <w:r>
        <w:rPr>
          <w:rFonts w:hint="eastAsia" w:ascii="黑体" w:hAnsi="黑体" w:cs="黑体"/>
          <w:b w:val="0"/>
          <w:bCs w:val="0"/>
          <w:sz w:val="32"/>
          <w:szCs w:val="32"/>
        </w:rPr>
        <w:t>第十五章 加强保障工作，如期实现规划目标</w:t>
      </w:r>
      <w:bookmarkEnd w:id="289"/>
      <w:bookmarkEnd w:id="290"/>
      <w:bookmarkEnd w:id="291"/>
    </w:p>
    <w:p>
      <w:pPr>
        <w:spacing w:line="600" w:lineRule="exact"/>
        <w:ind w:firstLine="640"/>
        <w:rPr>
          <w:rFonts w:ascii="Times New Roman" w:hAnsi="Times New Roman" w:eastAsia="仿宋_GB2312" w:cs="Times New Roman"/>
          <w:szCs w:val="32"/>
          <w:shd w:val="clear" w:color="auto" w:fill="FFFFFF"/>
        </w:rPr>
      </w:pPr>
      <w:r>
        <w:rPr>
          <w:rFonts w:hint="eastAsia" w:ascii="Times New Roman" w:hAnsi="Times New Roman" w:eastAsia="仿宋_GB2312" w:cs="Times New Roman"/>
          <w:szCs w:val="32"/>
          <w:shd w:val="clear" w:color="auto" w:fill="FFFFFF"/>
        </w:rPr>
        <w:t>实现“十四五”规划和二〇三五年远景目标，必须坚持党的全面领导，充分调动一切积极因素，广泛团结一切可以团结的力量，形成推动发展的强大合力。健全规划落实机制，确保“十四五”发展的决策部署落到实处。</w:t>
      </w:r>
    </w:p>
    <w:p>
      <w:pPr>
        <w:pStyle w:val="4"/>
        <w:topLinePunct/>
        <w:spacing w:before="0" w:after="0" w:line="600" w:lineRule="exact"/>
        <w:rPr>
          <w:rFonts w:ascii="楷体_GB2312" w:hAnsi="楷体_GB2312" w:eastAsia="楷体_GB2312" w:cs="楷体_GB2312"/>
        </w:rPr>
      </w:pPr>
      <w:bookmarkStart w:id="292" w:name="_Toc58853137"/>
      <w:bookmarkStart w:id="293" w:name="_Toc55824648"/>
      <w:bookmarkStart w:id="294" w:name="_Toc57027586"/>
      <w:r>
        <w:rPr>
          <w:rFonts w:hint="eastAsia" w:ascii="楷体_GB2312" w:hAnsi="楷体_GB2312" w:eastAsia="楷体_GB2312" w:cs="楷体_GB2312"/>
        </w:rPr>
        <w:t>第一节 发挥党的领导核心作用</w:t>
      </w:r>
      <w:bookmarkEnd w:id="292"/>
      <w:bookmarkEnd w:id="293"/>
      <w:bookmarkEnd w:id="294"/>
    </w:p>
    <w:p>
      <w:pPr>
        <w:spacing w:line="600" w:lineRule="exact"/>
        <w:ind w:firstLine="643"/>
        <w:rPr>
          <w:rFonts w:ascii="Times New Roman" w:hAnsi="Times New Roman" w:eastAsia="仿宋_GB2312" w:cs="Times New Roman"/>
          <w:szCs w:val="32"/>
          <w:shd w:val="clear" w:color="auto" w:fill="FFFFFF"/>
        </w:rPr>
      </w:pPr>
      <w:r>
        <w:rPr>
          <w:rFonts w:hint="eastAsia" w:ascii="Times New Roman" w:hAnsi="Times New Roman" w:eastAsia="仿宋_GB2312" w:cs="Times New Roman"/>
          <w:b/>
          <w:szCs w:val="32"/>
          <w:shd w:val="clear" w:color="auto" w:fill="FFFFFF"/>
        </w:rPr>
        <w:t>加强党的集中统一领导。</w:t>
      </w:r>
      <w:r>
        <w:rPr>
          <w:rFonts w:hint="eastAsia" w:ascii="Times New Roman" w:hAnsi="Times New Roman" w:eastAsia="仿宋_GB2312" w:cs="Times New Roman"/>
          <w:szCs w:val="32"/>
          <w:shd w:val="clear" w:color="auto" w:fill="FFFFFF"/>
        </w:rPr>
        <w:t>贯彻党全面贯彻落实习近平新时代中国特色社会主义思想，坚持和加强党的全面领导，增强“四个意识”，坚定“四个自信”，做到“两个维护”。充分发挥市委总揽全局、协调各方的领导核心作用，提高党科学执政、民主执政、依法执政水平，保障“十四五”规划的权威性、连续性和稳定性，为“十四五”规划顺利实施提供坚强保证。</w:t>
      </w:r>
    </w:p>
    <w:p>
      <w:pPr>
        <w:pStyle w:val="12"/>
        <w:spacing w:line="600" w:lineRule="exact"/>
        <w:ind w:firstLine="643"/>
        <w:rPr>
          <w:rFonts w:ascii="Times New Roman" w:hAnsi="Times New Roman" w:eastAsia="仿宋_GB2312"/>
          <w:sz w:val="32"/>
          <w:szCs w:val="32"/>
          <w:shd w:val="clear" w:color="auto" w:fill="FFFFFF"/>
        </w:rPr>
      </w:pPr>
      <w:r>
        <w:rPr>
          <w:rFonts w:hint="eastAsia" w:ascii="Times New Roman" w:hAnsi="Times New Roman" w:eastAsia="仿宋_GB2312"/>
          <w:b/>
          <w:sz w:val="32"/>
          <w:szCs w:val="32"/>
          <w:shd w:val="clear" w:color="auto" w:fill="FFFFFF"/>
        </w:rPr>
        <w:t>推进社会主义政治建设。</w:t>
      </w:r>
      <w:r>
        <w:rPr>
          <w:rFonts w:hint="eastAsia" w:ascii="Times New Roman" w:hAnsi="Times New Roman" w:eastAsia="仿宋_GB2312"/>
          <w:sz w:val="32"/>
          <w:szCs w:val="32"/>
          <w:shd w:val="clear" w:color="auto" w:fill="FFFFFF"/>
        </w:rPr>
        <w:t>坚持党的领导、人民当家作主、依法治国有机统一，推进中国特色社会主义政治制度发展。坚持人民代表大会制度、多党合作和政治协商制度。充分发挥人大、政协积极作用，形成党委领导，人大、政府、政协各司其职、团结奋进的工作格局和强大合力，为规划目标任务提供坚强保证。积极吸纳各群团组织的意见，凝聚全社会共识，形成多方联动、密切配合、携手共进的强大合力，推进规划顺利实施。</w:t>
      </w:r>
    </w:p>
    <w:p>
      <w:pPr>
        <w:pStyle w:val="4"/>
        <w:spacing w:before="0" w:after="0" w:line="600" w:lineRule="exact"/>
        <w:rPr>
          <w:rFonts w:ascii="楷体_GB2312" w:hAnsi="楷体_GB2312" w:eastAsia="楷体_GB2312" w:cs="楷体_GB2312"/>
          <w:bCs w:val="0"/>
        </w:rPr>
      </w:pPr>
      <w:bookmarkStart w:id="295" w:name="_Toc56375802"/>
      <w:bookmarkStart w:id="296" w:name="_Toc57027587"/>
      <w:bookmarkStart w:id="297" w:name="_Toc58853138"/>
      <w:r>
        <w:rPr>
          <w:rFonts w:hint="eastAsia" w:ascii="楷体_GB2312" w:hAnsi="楷体_GB2312" w:eastAsia="楷体_GB2312" w:cs="楷体_GB2312"/>
        </w:rPr>
        <w:t xml:space="preserve">第二节 </w:t>
      </w:r>
      <w:bookmarkEnd w:id="295"/>
      <w:r>
        <w:rPr>
          <w:rFonts w:hint="eastAsia" w:ascii="楷体_GB2312" w:hAnsi="楷体_GB2312" w:eastAsia="楷体_GB2312" w:cs="楷体_GB2312"/>
        </w:rPr>
        <w:t>夯实要素保障能力</w:t>
      </w:r>
      <w:bookmarkEnd w:id="296"/>
      <w:bookmarkEnd w:id="297"/>
    </w:p>
    <w:p>
      <w:pPr>
        <w:spacing w:line="600" w:lineRule="exact"/>
        <w:ind w:firstLine="643"/>
        <w:rPr>
          <w:rFonts w:ascii="仿宋_GB2312" w:hAnsi="仿宋_GB2312" w:eastAsia="仿宋_GB2312" w:cs="仿宋_GB2312"/>
          <w:bCs/>
          <w:szCs w:val="32"/>
        </w:rPr>
      </w:pPr>
      <w:r>
        <w:rPr>
          <w:rFonts w:hint="eastAsia" w:ascii="仿宋_GB2312" w:hAnsi="仿宋_GB2312" w:eastAsia="仿宋_GB2312" w:cs="仿宋_GB2312"/>
          <w:b/>
          <w:bCs/>
          <w:szCs w:val="32"/>
        </w:rPr>
        <w:t>加大财政资金保障。</w:t>
      </w:r>
      <w:r>
        <w:rPr>
          <w:rFonts w:hint="eastAsia" w:ascii="仿宋_GB2312" w:hAnsi="仿宋_GB2312" w:eastAsia="仿宋_GB2312" w:cs="仿宋_GB2312"/>
          <w:bCs/>
          <w:szCs w:val="32"/>
        </w:rPr>
        <w:t>充分发挥财政政策引导作用和财政资金杠杆作用，提升经费保障能力和服务水平；积极争取新一轮东北振兴政策资金和中央、省专项补助资金、扶持资源型城市转型资金、国家新型城镇化等各类资金支持，补齐财政资金缺口；及时兑现国家及省、市各项财政扶持优惠政策，推动重点工程建设和重大项目落地。</w:t>
      </w:r>
    </w:p>
    <w:p>
      <w:pPr>
        <w:spacing w:line="600" w:lineRule="exact"/>
        <w:ind w:firstLine="643"/>
        <w:rPr>
          <w:rFonts w:ascii="仿宋_GB2312" w:hAnsi="仿宋_GB2312" w:eastAsia="仿宋_GB2312" w:cs="仿宋_GB2312"/>
          <w:bCs/>
          <w:szCs w:val="32"/>
        </w:rPr>
      </w:pPr>
      <w:r>
        <w:rPr>
          <w:rFonts w:hint="eastAsia" w:ascii="仿宋_GB2312" w:hAnsi="仿宋_GB2312" w:eastAsia="仿宋_GB2312" w:cs="仿宋_GB2312"/>
          <w:b/>
          <w:bCs/>
          <w:szCs w:val="32"/>
        </w:rPr>
        <w:t>拓宽项目融资渠道。</w:t>
      </w:r>
      <w:r>
        <w:rPr>
          <w:rFonts w:hint="eastAsia" w:ascii="仿宋_GB2312" w:hAnsi="仿宋_GB2312" w:eastAsia="仿宋_GB2312" w:cs="仿宋_GB2312"/>
          <w:bCs/>
          <w:szCs w:val="32"/>
        </w:rPr>
        <w:t>广泛吸引社会资本参与经济社会建设，建立多元可持续的资金保障机制，重点支持民间资本进入基础设施、公共事业和社会事业领域；完善融资体系，拓宽融资渠道，优化融资环境，加大资金多元化筹措力度；搭建银企合作平台，实现金融资本与企业需求的有效对接。</w:t>
      </w:r>
    </w:p>
    <w:p>
      <w:pPr>
        <w:spacing w:line="600" w:lineRule="exact"/>
        <w:ind w:firstLine="643"/>
        <w:rPr>
          <w:rFonts w:ascii="仿宋_GB2312" w:hAnsi="仿宋_GB2312" w:eastAsia="仿宋_GB2312" w:cs="仿宋_GB2312"/>
          <w:szCs w:val="32"/>
          <w:shd w:val="clear" w:color="auto" w:fill="FFFFFF"/>
        </w:rPr>
      </w:pPr>
      <w:r>
        <w:rPr>
          <w:rFonts w:hint="eastAsia" w:ascii="仿宋_GB2312" w:hAnsi="仿宋_GB2312" w:eastAsia="仿宋_GB2312" w:cs="仿宋_GB2312"/>
          <w:b/>
          <w:szCs w:val="32"/>
          <w:shd w:val="clear" w:color="auto" w:fill="FFFFFF"/>
        </w:rPr>
        <w:t>加强土地供给保障</w:t>
      </w:r>
      <w:r>
        <w:rPr>
          <w:rFonts w:hint="eastAsia" w:ascii="仿宋_GB2312" w:hAnsi="仿宋_GB2312" w:eastAsia="仿宋_GB2312" w:cs="仿宋_GB2312"/>
          <w:szCs w:val="32"/>
          <w:shd w:val="clear" w:color="auto" w:fill="FFFFFF"/>
        </w:rPr>
        <w:t>。</w:t>
      </w:r>
      <w:r>
        <w:rPr>
          <w:rFonts w:hint="eastAsia" w:ascii="仿宋_GB2312" w:hAnsi="仿宋_GB2312" w:eastAsia="仿宋_GB2312" w:cs="仿宋_GB2312"/>
          <w:bCs/>
          <w:szCs w:val="32"/>
        </w:rPr>
        <w:t>严格落实“三区三线”划定的用地范围，优先保障民生、产业转型升级、新动能培育领域建设用地。</w:t>
      </w:r>
      <w:r>
        <w:rPr>
          <w:rFonts w:hint="eastAsia" w:ascii="仿宋_GB2312" w:hAnsi="仿宋_GB2312" w:eastAsia="仿宋_GB2312" w:cs="仿宋_GB2312"/>
          <w:szCs w:val="32"/>
          <w:shd w:val="clear" w:color="auto" w:fill="FFFFFF"/>
        </w:rPr>
        <w:t>通过城镇土地复垦、闲置厂房等低效用地再开发盘活存量用地；实行差别化用地政策，合理增加闲置土地开发建设指标，推进补充耕地指标和城乡建设用地指标在铁岭市统筹管理下实现跨县调剂，提高土地供给保障能力。</w:t>
      </w:r>
    </w:p>
    <w:p>
      <w:pPr>
        <w:spacing w:line="600" w:lineRule="exact"/>
        <w:ind w:firstLine="643"/>
        <w:rPr>
          <w:rFonts w:ascii="仿宋_GB2312" w:hAnsi="仿宋_GB2312" w:eastAsia="仿宋_GB2312" w:cs="仿宋_GB2312"/>
          <w:szCs w:val="32"/>
          <w:shd w:val="clear" w:color="auto" w:fill="FFFFFF"/>
        </w:rPr>
      </w:pPr>
      <w:r>
        <w:rPr>
          <w:rFonts w:hint="eastAsia" w:ascii="仿宋_GB2312" w:hAnsi="仿宋_GB2312" w:eastAsia="仿宋_GB2312" w:cs="仿宋_GB2312"/>
          <w:b/>
          <w:szCs w:val="32"/>
          <w:shd w:val="clear" w:color="auto" w:fill="FFFFFF"/>
        </w:rPr>
        <w:t>加大科技创新技术保障。</w:t>
      </w:r>
      <w:r>
        <w:rPr>
          <w:rFonts w:hint="eastAsia" w:ascii="仿宋_GB2312" w:hAnsi="仿宋_GB2312" w:eastAsia="仿宋_GB2312" w:cs="仿宋_GB2312"/>
          <w:szCs w:val="32"/>
          <w:shd w:val="clear" w:color="auto" w:fill="FFFFFF"/>
        </w:rPr>
        <w:t>提高科技经费占财政支出比例，着力解决科技投融资难问题，以市场拉动科技创新的投入。优化科技创新环境，推进产学研用深度融合，充分发挥各类科技创新平台的功能，加快创新成果产业化的载体建设，搭建科技成果共享服务和企业、科研单位供需合作平台。支持企业加快突破重点领域“卡脖子”技术。</w:t>
      </w:r>
    </w:p>
    <w:p>
      <w:pPr>
        <w:spacing w:line="600" w:lineRule="exact"/>
        <w:ind w:firstLine="643"/>
        <w:rPr>
          <w:rFonts w:ascii="仿宋_GB2312" w:hAnsi="仿宋_GB2312" w:eastAsia="仿宋_GB2312" w:cs="仿宋_GB2312"/>
          <w:szCs w:val="32"/>
        </w:rPr>
      </w:pPr>
      <w:r>
        <w:rPr>
          <w:rFonts w:hint="eastAsia" w:ascii="仿宋_GB2312" w:hAnsi="仿宋_GB2312" w:eastAsia="仿宋_GB2312" w:cs="仿宋_GB2312"/>
          <w:b/>
          <w:szCs w:val="32"/>
          <w:shd w:val="clear" w:color="auto" w:fill="FFFFFF"/>
        </w:rPr>
        <w:t>强化重点项目支撑</w:t>
      </w:r>
      <w:r>
        <w:rPr>
          <w:rFonts w:hint="eastAsia" w:ascii="仿宋_GB2312" w:hAnsi="仿宋_GB2312" w:eastAsia="仿宋_GB2312" w:cs="仿宋_GB2312"/>
          <w:szCs w:val="32"/>
          <w:shd w:val="clear" w:color="auto" w:fill="FFFFFF"/>
        </w:rPr>
        <w:t>。继续实施招商引资首位战略，发挥招商引资带动经济发展的强大动力，建立健全项目有序推进的长效机制，切实提高项目建设的管理水平，增强项目对经济社会发展的支撑作用。</w:t>
      </w:r>
      <w:r>
        <w:rPr>
          <w:rFonts w:hint="eastAsia" w:ascii="仿宋_GB2312" w:hAnsi="仿宋_GB2312" w:eastAsia="仿宋_GB2312" w:cs="仿宋_GB2312"/>
          <w:szCs w:val="32"/>
        </w:rPr>
        <w:t>推进在谈项目抓签约、签约项目抓开工、开工项目抓建设、续建项目抓投产（竣工）、技改项目抓科技创新、战略重组，</w:t>
      </w:r>
      <w:r>
        <w:rPr>
          <w:rFonts w:hint="eastAsia" w:ascii="仿宋_GB2312" w:hAnsi="仿宋_GB2312" w:eastAsia="仿宋_GB2312" w:cs="仿宋_GB2312"/>
          <w:bCs/>
          <w:szCs w:val="32"/>
        </w:rPr>
        <w:t>对项目建设中发现的问题及时梳理汇总，明确承办部门，限时跟踪解决。</w:t>
      </w:r>
    </w:p>
    <w:p>
      <w:pPr>
        <w:pStyle w:val="4"/>
        <w:spacing w:before="0" w:after="0" w:line="600" w:lineRule="exact"/>
        <w:rPr>
          <w:rFonts w:ascii="楷体_GB2312" w:hAnsi="楷体_GB2312" w:eastAsia="楷体_GB2312" w:cs="楷体_GB2312"/>
          <w:bCs w:val="0"/>
        </w:rPr>
      </w:pPr>
      <w:bookmarkStart w:id="298" w:name="_Toc56375803"/>
      <w:bookmarkStart w:id="299" w:name="_Toc57027588"/>
      <w:bookmarkStart w:id="300" w:name="_Toc19665"/>
      <w:bookmarkStart w:id="301" w:name="_Toc58853139"/>
      <w:r>
        <w:rPr>
          <w:rFonts w:hint="eastAsia" w:ascii="楷体_GB2312" w:hAnsi="楷体_GB2312" w:eastAsia="楷体_GB2312" w:cs="楷体_GB2312"/>
        </w:rPr>
        <w:t>第三节 健全规划实施机制</w:t>
      </w:r>
      <w:bookmarkEnd w:id="298"/>
      <w:bookmarkEnd w:id="299"/>
      <w:bookmarkEnd w:id="300"/>
      <w:bookmarkEnd w:id="301"/>
    </w:p>
    <w:p>
      <w:pPr>
        <w:pStyle w:val="52"/>
        <w:spacing w:line="600" w:lineRule="exact"/>
        <w:rPr>
          <w:rFonts w:ascii="仿宋_GB2312" w:hAnsi="仿宋_GB2312" w:eastAsia="仿宋_GB2312" w:cs="仿宋_GB2312"/>
          <w:shd w:val="clear" w:color="auto" w:fill="FFFFFF"/>
        </w:rPr>
      </w:pPr>
      <w:r>
        <w:rPr>
          <w:rFonts w:hint="eastAsia" w:ascii="仿宋_GB2312" w:hAnsi="仿宋_GB2312" w:eastAsia="仿宋_GB2312" w:cs="仿宋_GB2312"/>
          <w:b/>
          <w:bCs/>
          <w:shd w:val="clear" w:color="auto" w:fill="FFFFFF"/>
        </w:rPr>
        <w:t>强化统筹协调。</w:t>
      </w:r>
      <w:r>
        <w:rPr>
          <w:rFonts w:hint="eastAsia" w:ascii="仿宋_GB2312" w:hAnsi="仿宋_GB2312" w:eastAsia="仿宋_GB2312" w:cs="仿宋_GB2312"/>
          <w:shd w:val="clear" w:color="auto" w:fill="FFFFFF"/>
        </w:rPr>
        <w:t>建立健全“多规合一”常态化管理和运行机制。强化国民经济社会发展总体规划在各类规划中的引领地位，依据《纲要》，组织编制相关区域、重点产业、重大项目、重点工程等专项规划、行动方案、实施计划。发挥规划委员会作用，强化规划统筹，实现在总体要求上指向一致、在空间配置上相互协调、在时间安排上科学有序，形成层次分明、定位清晰、各有侧重、统一协调的以《纲要》为统领、专项规划为支撑、空间规划为基础的规划体系。</w:t>
      </w:r>
    </w:p>
    <w:p>
      <w:pPr>
        <w:pStyle w:val="52"/>
        <w:spacing w:line="600" w:lineRule="exact"/>
        <w:rPr>
          <w:rFonts w:ascii="仿宋_GB2312" w:hAnsi="仿宋_GB2312" w:eastAsia="仿宋_GB2312" w:cs="仿宋_GB2312"/>
          <w:shd w:val="clear" w:color="auto" w:fill="FFFFFF"/>
        </w:rPr>
      </w:pPr>
      <w:bookmarkStart w:id="302" w:name="_Toc19793"/>
      <w:bookmarkStart w:id="303" w:name="_Toc436641465"/>
      <w:bookmarkStart w:id="304" w:name="_Toc13640"/>
      <w:bookmarkStart w:id="305" w:name="_Toc24787"/>
      <w:r>
        <w:rPr>
          <w:rFonts w:hint="eastAsia" w:ascii="仿宋_GB2312" w:hAnsi="仿宋_GB2312" w:eastAsia="仿宋_GB2312" w:cs="仿宋_GB2312"/>
          <w:b/>
          <w:bCs/>
          <w:shd w:val="clear" w:color="auto" w:fill="FFFFFF"/>
        </w:rPr>
        <w:t>完善规划管理。</w:t>
      </w:r>
      <w:r>
        <w:rPr>
          <w:rFonts w:hint="eastAsia" w:ascii="仿宋_GB2312" w:hAnsi="仿宋_GB2312" w:eastAsia="仿宋_GB2312" w:cs="仿宋_GB2312"/>
          <w:shd w:val="clear" w:color="auto" w:fill="FFFFFF"/>
        </w:rPr>
        <w:t>按照“三重一大”的任务部署，对照本规划确定的发展目标、主要任务，分解落实《纲要》提出的年度目标、工作指标和推进措施，明确牵头单位和工作责任。健全规划年度监测、中期评估和末期评估工作制度，推动定量评估与定性评估相配套、政府自我评估与第三方评估相结合的规划评估体系。优化规划修订调整机制，全面保障《纲要》目标任务顺利实施。</w:t>
      </w:r>
    </w:p>
    <w:bookmarkEnd w:id="302"/>
    <w:bookmarkEnd w:id="303"/>
    <w:bookmarkEnd w:id="304"/>
    <w:bookmarkEnd w:id="305"/>
    <w:p>
      <w:pPr>
        <w:pStyle w:val="52"/>
        <w:spacing w:line="600" w:lineRule="exact"/>
        <w:rPr>
          <w:rFonts w:ascii="仿宋_GB2312" w:hAnsi="仿宋_GB2312" w:eastAsia="仿宋_GB2312" w:cs="仿宋_GB2312"/>
          <w:shd w:val="clear" w:color="auto" w:fill="FFFFFF"/>
        </w:rPr>
      </w:pPr>
      <w:r>
        <w:rPr>
          <w:rFonts w:hint="eastAsia" w:ascii="仿宋_GB2312" w:hAnsi="仿宋_GB2312" w:eastAsia="仿宋_GB2312" w:cs="仿宋_GB2312"/>
          <w:b/>
          <w:bCs/>
          <w:shd w:val="clear" w:color="auto" w:fill="FFFFFF"/>
        </w:rPr>
        <w:t>拓展监督渠道。</w:t>
      </w:r>
      <w:r>
        <w:rPr>
          <w:rFonts w:hint="eastAsia" w:ascii="仿宋_GB2312" w:hAnsi="仿宋_GB2312" w:eastAsia="仿宋_GB2312" w:cs="仿宋_GB2312"/>
          <w:shd w:val="clear" w:color="auto" w:fill="FFFFFF"/>
        </w:rPr>
        <w:t>加强规划实施动态跟踪监测，完善规划实施的评估监督问责机制，发挥监察、审计、统计等部门对规划实施的监督作用，完善社会监督机制，发挥新闻媒体、社会组织和公众对规划的监督作用。完善问责机制，把监测评估结果作为制定年度计划、改进政府工作绩效和考核的重要依据。</w:t>
      </w:r>
    </w:p>
    <w:p>
      <w:pPr>
        <w:pStyle w:val="52"/>
        <w:spacing w:line="600" w:lineRule="exact"/>
        <w:ind w:firstLine="640"/>
        <w:rPr>
          <w:rFonts w:eastAsia="仿宋_GB2312"/>
          <w:shd w:val="clear" w:color="auto" w:fill="FFFFFF"/>
        </w:rPr>
      </w:pPr>
    </w:p>
    <w:p>
      <w:pPr>
        <w:pStyle w:val="52"/>
        <w:spacing w:line="600" w:lineRule="exact"/>
        <w:ind w:firstLine="640"/>
        <w:rPr>
          <w:rFonts w:eastAsia="仿宋_GB2312"/>
          <w:shd w:val="clear" w:color="auto" w:fill="FFFFFF"/>
        </w:rPr>
      </w:pPr>
    </w:p>
    <w:p>
      <w:pPr>
        <w:pStyle w:val="52"/>
        <w:spacing w:line="600" w:lineRule="exact"/>
        <w:ind w:firstLine="640"/>
        <w:rPr>
          <w:rFonts w:eastAsia="仿宋_GB2312"/>
          <w:shd w:val="clear" w:color="auto" w:fill="FFFFFF"/>
        </w:rPr>
      </w:pPr>
    </w:p>
    <w:p>
      <w:pPr>
        <w:pStyle w:val="52"/>
        <w:spacing w:line="600" w:lineRule="exact"/>
        <w:ind w:firstLine="640"/>
        <w:rPr>
          <w:rFonts w:eastAsia="仿宋_GB2312"/>
          <w:shd w:val="clear" w:color="auto" w:fill="FFFFFF"/>
        </w:rPr>
      </w:pPr>
    </w:p>
    <w:p>
      <w:pPr>
        <w:pStyle w:val="52"/>
        <w:spacing w:line="600" w:lineRule="exact"/>
        <w:ind w:firstLine="640"/>
        <w:rPr>
          <w:rFonts w:eastAsia="仿宋_GB2312"/>
          <w:shd w:val="clear" w:color="auto" w:fill="FFFFFF"/>
        </w:rPr>
      </w:pPr>
    </w:p>
    <w:p>
      <w:pPr>
        <w:pStyle w:val="52"/>
        <w:spacing w:line="600" w:lineRule="exact"/>
        <w:ind w:firstLine="640"/>
        <w:rPr>
          <w:rFonts w:eastAsia="仿宋_GB2312"/>
          <w:shd w:val="clear" w:color="auto" w:fill="FFFFFF"/>
        </w:rPr>
      </w:pPr>
    </w:p>
    <w:p>
      <w:pPr>
        <w:pStyle w:val="52"/>
        <w:spacing w:line="600" w:lineRule="exact"/>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0" w:firstLineChars="0"/>
        <w:rPr>
          <w:rFonts w:eastAsia="仿宋_GB2312"/>
          <w:shd w:val="clear" w:color="auto" w:fill="FFFFFF"/>
        </w:rPr>
      </w:pPr>
      <w:r>
        <w:rPr>
          <w:rFonts w:hint="eastAsia" w:eastAsia="仿宋_GB2312"/>
          <w:shd w:val="clear" w:color="auto" w:fill="FFFFFF"/>
        </w:rPr>
        <w:t>（此页无正文）</w:t>
      </w: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52"/>
        <w:ind w:firstLine="0" w:firstLineChars="0"/>
        <w:rPr>
          <w:rFonts w:eastAsia="仿宋_GB2312"/>
          <w:shd w:val="clear" w:color="auto" w:fill="FFFFFF"/>
        </w:rPr>
      </w:pPr>
    </w:p>
    <w:p>
      <w:pPr>
        <w:pStyle w:val="52"/>
        <w:ind w:firstLine="640"/>
        <w:rPr>
          <w:rFonts w:eastAsia="仿宋_GB2312"/>
          <w:shd w:val="clear" w:color="auto" w:fill="FFFFFF"/>
        </w:rPr>
      </w:pPr>
    </w:p>
    <w:p>
      <w:pPr>
        <w:pStyle w:val="52"/>
        <w:ind w:firstLine="640"/>
        <w:rPr>
          <w:rFonts w:eastAsia="仿宋_GB2312"/>
          <w:shd w:val="clear" w:color="auto" w:fill="FFFFFF"/>
        </w:rPr>
      </w:pPr>
    </w:p>
    <w:p>
      <w:pPr>
        <w:pStyle w:val="17"/>
        <w:tabs>
          <w:tab w:val="left" w:pos="2520"/>
        </w:tabs>
        <w:spacing w:line="480" w:lineRule="exact"/>
        <w:ind w:left="0" w:firstLine="640"/>
        <w:rPr>
          <w:rFonts w:eastAsia="华文中宋"/>
          <w:color w:val="000000"/>
        </w:rPr>
      </w:pPr>
      <w:r>
        <w:rPr>
          <w:rFonts w:eastAsia="黑体"/>
          <w:bCs/>
          <w:color w:val="000000"/>
        </w:rPr>
        <w:pict>
          <v:shape id="未知" o:spid="_x0000_s1032" style="position:absolute;left:0pt;margin-left:0pt;margin-top:22.8pt;height:0pt;width:452.9pt;z-index:251660288;mso-width-relative:page;mso-height-relative:page;" filled="f" coordsize="9058,1" path="m0,0l9058,0e">
            <v:path arrowok="t"/>
            <v:fill on="f" focussize="0,0"/>
            <v:stroke/>
            <v:imagedata o:title=""/>
            <o:lock v:ext="edit"/>
          </v:shape>
        </w:pict>
      </w:r>
    </w:p>
    <w:p>
      <w:pPr>
        <w:pStyle w:val="15"/>
        <w:spacing w:line="480" w:lineRule="exact"/>
        <w:ind w:left="1397" w:leftChars="174" w:hanging="840" w:hangingChars="300"/>
        <w:rPr>
          <w:rFonts w:ascii="仿宋_GB2312" w:eastAsia="仿宋_GB2312"/>
          <w:color w:val="000000"/>
          <w:sz w:val="28"/>
          <w:szCs w:val="28"/>
        </w:rPr>
      </w:pPr>
      <w:r>
        <w:rPr>
          <w:rFonts w:hint="eastAsia" w:ascii="仿宋_GB2312" w:eastAsia="仿宋_GB2312"/>
          <w:color w:val="000000"/>
          <w:sz w:val="28"/>
          <w:szCs w:val="28"/>
        </w:rPr>
        <w:t>抄送：市委各部委，武装部，人大办，政协办，纪检办，法院</w:t>
      </w:r>
      <w:r>
        <w:rPr>
          <w:rFonts w:ascii="仿宋_GB2312" w:eastAsia="仿宋_GB2312"/>
          <w:color w:val="000000"/>
          <w:sz w:val="28"/>
          <w:szCs w:val="28"/>
        </w:rPr>
        <w:t>,</w:t>
      </w:r>
      <w:r>
        <w:rPr>
          <w:rFonts w:hint="eastAsia" w:ascii="仿宋_GB2312" w:eastAsia="仿宋_GB2312"/>
          <w:color w:val="000000"/>
          <w:sz w:val="28"/>
          <w:szCs w:val="28"/>
        </w:rPr>
        <w:t>检察院，铁能公司，东北煤田地质局</w:t>
      </w:r>
      <w:r>
        <w:rPr>
          <w:rFonts w:ascii="仿宋_GB2312" w:eastAsia="仿宋_GB2312"/>
          <w:color w:val="000000"/>
          <w:sz w:val="28"/>
          <w:szCs w:val="28"/>
        </w:rPr>
        <w:t>101</w:t>
      </w:r>
      <w:r>
        <w:rPr>
          <w:rFonts w:hint="eastAsia" w:ascii="仿宋_GB2312" w:eastAsia="仿宋_GB2312"/>
          <w:color w:val="000000"/>
          <w:sz w:val="28"/>
          <w:szCs w:val="28"/>
        </w:rPr>
        <w:t>勘探队。</w:t>
      </w:r>
    </w:p>
    <w:p>
      <w:pPr>
        <w:pStyle w:val="15"/>
        <w:spacing w:line="480" w:lineRule="exact"/>
        <w:ind w:firstLine="280" w:firstLineChars="100"/>
        <w:rPr>
          <w:rFonts w:eastAsia="仿宋_GB2312"/>
          <w:shd w:val="clear" w:color="auto" w:fill="FFFFFF"/>
        </w:rPr>
      </w:pPr>
      <w:r>
        <w:rPr>
          <w:rFonts w:ascii="仿宋_GB2312" w:eastAsia="仿宋_GB2312"/>
          <w:color w:val="000000"/>
          <w:sz w:val="28"/>
          <w:szCs w:val="28"/>
        </w:rPr>
        <w:pict>
          <v:shape id="_x0000_s1033" o:spid="_x0000_s1033" style="position:absolute;left:0pt;margin-left:0pt;margin-top:31.2pt;height:0pt;width:450.4pt;z-index:251661312;mso-width-relative:page;mso-height-relative:page;" filled="f" coordsize="9008,1" path="m0,0l9008,0e">
            <v:path arrowok="t"/>
            <v:fill on="f" focussize="0,0"/>
            <v:stroke/>
            <v:imagedata o:title=""/>
            <o:lock v:ext="edit"/>
          </v:shape>
        </w:pict>
      </w:r>
      <w:r>
        <w:rPr>
          <w:rFonts w:hint="eastAsia" w:ascii="仿宋_GB2312" w:eastAsia="仿宋_GB2312"/>
          <w:color w:val="000000"/>
          <w:sz w:val="28"/>
          <w:szCs w:val="28"/>
        </w:rPr>
        <w:t>调兵山市人民政府 　　                    2021年7月19日印发</w:t>
      </w:r>
      <w:r>
        <w:rPr>
          <w:rFonts w:ascii="仿宋_GB2312" w:eastAsia="仿宋_GB2312"/>
          <w:color w:val="000000"/>
          <w:sz w:val="28"/>
          <w:szCs w:val="28"/>
        </w:rPr>
        <w:pict>
          <v:shape id="_x0000_s1034" o:spid="_x0000_s1034" style="position:absolute;left:0pt;margin-left:-0.55pt;margin-top:2.25pt;height:0pt;width:452.05pt;z-index:251662336;mso-width-relative:page;mso-height-relative:page;" filled="f" coordsize="9041,0" o:allowincell="f" path="m0,0l9041,0e">
            <v:path arrowok="t"/>
            <v:fill on="f" focussize="0,0"/>
            <v:stroke/>
            <v:imagedata o:title=""/>
            <o:lock v:ext="edit"/>
          </v:shape>
        </w:pict>
      </w:r>
    </w:p>
    <w:sectPr>
      <w:pgSz w:w="11906" w:h="16838"/>
      <w:pgMar w:top="1361" w:right="1417" w:bottom="1247" w:left="1417"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640"/>
      </w:pPr>
      <w:r>
        <w:separator/>
      </w:r>
    </w:p>
  </w:endnote>
  <w:endnote w:type="continuationSeparator" w:id="1">
    <w:p>
      <w:pPr>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
    <w:panose1 w:val="02010609060101010101"/>
    <w:charset w:val="86"/>
    <w:family w:val="modern"/>
    <w:pitch w:val="default"/>
    <w:sig w:usb0="800002BF" w:usb1="38CF7CFA" w:usb2="00000016" w:usb3="00000000" w:csb0="00040001" w:csb1="00000000"/>
  </w:font>
  <w:font w:name="Cambria">
    <w:altName w:val="FreeSerif"/>
    <w:panose1 w:val="02040503050406030204"/>
    <w:charset w:val="00"/>
    <w:family w:val="roman"/>
    <w:pitch w:val="default"/>
    <w:sig w:usb0="00000000" w:usb1="00000000" w:usb2="00000000" w:usb3="00000000" w:csb0="0000019F" w:csb1="00000000"/>
  </w:font>
  <w:font w:name="仿宋_GB2312">
    <w:panose1 w:val="02010609030101010101"/>
    <w:charset w:val="86"/>
    <w:family w:val="modern"/>
    <w:pitch w:val="default"/>
    <w:sig w:usb0="00000001" w:usb1="080E0000" w:usb2="00000000" w:usb3="00000000" w:csb0="00040000" w:csb1="00000000"/>
  </w:font>
  <w:font w:name="华文中宋">
    <w:altName w:val="汉仪中宋简"/>
    <w:panose1 w:val="00000000000000000000"/>
    <w:charset w:val="86"/>
    <w:family w:val="auto"/>
    <w:pitch w:val="default"/>
    <w:sig w:usb0="00000000" w:usb1="00000000" w:usb2="00000000" w:usb3="00000000" w:csb0="0004009F" w:csb1="DFD70000"/>
  </w:font>
  <w:font w:name="Bookman Old Style">
    <w:altName w:val="方正宋体S-超大字符集(SIP)"/>
    <w:panose1 w:val="00000000000000000000"/>
    <w:charset w:val="00"/>
    <w:family w:val="roman"/>
    <w:pitch w:val="default"/>
    <w:sig w:usb0="00000000" w:usb1="00000000" w:usb2="00000000" w:usb3="00000000" w:csb0="2000009F" w:csb1="DFD70000"/>
  </w:font>
  <w:font w:name="微软雅黑">
    <w:altName w:val="黑体"/>
    <w:panose1 w:val="020B0503020204020204"/>
    <w:charset w:val="86"/>
    <w:family w:val="swiss"/>
    <w:pitch w:val="default"/>
    <w:sig w:usb0="00000000" w:usb1="00000000" w:usb2="00000016" w:usb3="00000000" w:csb0="0004001F"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Tahoma">
    <w:altName w:val="Droid Sans"/>
    <w:panose1 w:val="020B0604030504040204"/>
    <w:charset w:val="00"/>
    <w:family w:val="swiss"/>
    <w:pitch w:val="default"/>
    <w:sig w:usb0="00000000" w:usb1="00000000" w:usb2="00000029" w:usb3="00000000" w:csb0="000101F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汉仪中宋简">
    <w:panose1 w:val="02010600000101010101"/>
    <w:charset w:val="86"/>
    <w:family w:val="auto"/>
    <w:pitch w:val="default"/>
    <w:sig w:usb0="00000001" w:usb1="080E0800" w:usb2="00000002" w:usb3="00000000" w:csb0="00040000" w:csb1="00000000"/>
  </w:font>
  <w:font w:name="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FreeSerif">
    <w:panose1 w:val="02020603050405020304"/>
    <w:charset w:val="00"/>
    <w:family w:val="auto"/>
    <w:pitch w:val="default"/>
    <w:sig w:usb0="E59FAFFF" w:usb1="C200FDFF" w:usb2="43501B29" w:usb3="04000043" w:csb0="6001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ind w:firstLine="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ind w:firstLine="360"/>
      <w:jc w:val="center"/>
    </w:pPr>
    <w:r>
      <w:pict>
        <v:shape id="_x0000_s2054" o:spid="_x0000_s2054" o:spt="202" type="#_x0000_t202" style="position:absolute;left:0pt;margin-top:0pt;height:144pt;width:144pt;mso-position-horizontal:outside;mso-position-horizontal-relative:margin;mso-wrap-style:none;z-index:251661312;mso-width-relative:page;mso-height-relative:page;" filled="f" stroked="f" coordsize="21600,21600">
          <v:path/>
          <v:fill on="f" focussize="0,0"/>
          <v:stroke on="f" joinstyle="miter"/>
          <v:imagedata o:title=""/>
          <o:lock v:ext="edit"/>
          <v:textbox inset="0mm,0mm,0mm,0mm" style="mso-fit-shape-to-text:t;">
            <w:txbxContent>
              <w:p>
                <w:pPr>
                  <w:pStyle w:val="20"/>
                  <w:ind w:firstLine="360"/>
                </w:pPr>
                <w:r>
                  <w:t xml:space="preserve">— </w:t>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r>
                  <w:t xml:space="preserve"> —</w:t>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ind w:firstLine="360"/>
      <w:jc w:val="center"/>
    </w:pPr>
    <w:r>
      <w:pict>
        <v:shape id="_x0000_s2055" o:spid="_x0000_s2055" o:spt="202" type="#_x0000_t202" style="position:absolute;left:0pt;margin-top:0pt;height:144pt;width:144pt;mso-position-horizontal:outside;mso-position-horizontal-relative:margin;mso-wrap-style:none;z-index:251663360;mso-width-relative:page;mso-height-relative:page;" filled="f" stroked="f" coordsize="21600,21600">
          <v:path/>
          <v:fill on="f" focussize="0,0"/>
          <v:stroke on="f" joinstyle="miter"/>
          <v:imagedata o:title=""/>
          <o:lock v:ext="edit"/>
          <v:textbox inset="0mm,0mm,0mm,0mm" style="mso-fit-shape-to-text:t;">
            <w:txbxContent>
              <w:p>
                <w:pPr>
                  <w:pStyle w:val="20"/>
                  <w:ind w:firstLine="360"/>
                </w:pPr>
                <w:r>
                  <w:t>—</w:t>
                </w:r>
                <w:r>
                  <w:rPr>
                    <w:sz w:val="28"/>
                    <w:szCs w:val="28"/>
                  </w:rPr>
                  <w:t xml:space="preserve"> </w:t>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ascii="仿宋_GB2312" w:hAnsi="仿宋_GB2312" w:eastAsia="仿宋_GB2312" w:cs="仿宋_GB2312"/>
                    <w:sz w:val="28"/>
                    <w:szCs w:val="28"/>
                  </w:rPr>
                  <w:t>82</w:t>
                </w:r>
                <w:r>
                  <w:rPr>
                    <w:rFonts w:hint="eastAsia" w:ascii="仿宋_GB2312" w:hAnsi="仿宋_GB2312" w:eastAsia="仿宋_GB2312" w:cs="仿宋_GB2312"/>
                    <w:sz w:val="28"/>
                    <w:szCs w:val="28"/>
                  </w:rPr>
                  <w:fldChar w:fldCharType="end"/>
                </w:r>
                <w:r>
                  <w:t xml:space="preserve"> —</w:t>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640"/>
      </w:pPr>
      <w:r>
        <w:separator/>
      </w:r>
    </w:p>
  </w:footnote>
  <w:footnote w:type="continuationSeparator" w:id="1">
    <w:p>
      <w:pPr>
        <w:ind w:firstLine="64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B41D29"/>
    <w:multiLevelType w:val="multilevel"/>
    <w:tmpl w:val="3FB41D29"/>
    <w:lvl w:ilvl="0" w:tentative="0">
      <w:start w:val="1"/>
      <w:numFmt w:val="japaneseCounting"/>
      <w:lvlText w:val="第%1节"/>
      <w:lvlJc w:val="left"/>
      <w:pPr>
        <w:ind w:left="1215" w:hanging="121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6CF0023E"/>
    <w:multiLevelType w:val="multilevel"/>
    <w:tmpl w:val="6CF0023E"/>
    <w:lvl w:ilvl="0" w:tentative="0">
      <w:start w:val="1"/>
      <w:numFmt w:val="japaneseCounting"/>
      <w:lvlText w:val="第%1节"/>
      <w:lvlJc w:val="left"/>
      <w:pPr>
        <w:ind w:left="1215" w:hanging="121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8"/>
  <w:bordersDoNotSurroundHeader w:val="true"/>
  <w:bordersDoNotSurroundFooter w:val="true"/>
  <w:documentProtection w:enforcement="0"/>
  <w:defaultTabStop w:val="420"/>
  <w:drawingGridHorizontalSpacing w:val="140"/>
  <w:drawingGridVerticalSpacing w:val="381"/>
  <w:noPunctuationKerning w:val="true"/>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F55EA3"/>
    <w:rsid w:val="00000945"/>
    <w:rsid w:val="0000147F"/>
    <w:rsid w:val="00003334"/>
    <w:rsid w:val="00006951"/>
    <w:rsid w:val="000102E8"/>
    <w:rsid w:val="000104C7"/>
    <w:rsid w:val="00013ECA"/>
    <w:rsid w:val="0001572A"/>
    <w:rsid w:val="0001735E"/>
    <w:rsid w:val="00030507"/>
    <w:rsid w:val="00031959"/>
    <w:rsid w:val="00031F8D"/>
    <w:rsid w:val="00032487"/>
    <w:rsid w:val="0003462C"/>
    <w:rsid w:val="00053AF6"/>
    <w:rsid w:val="00063BA0"/>
    <w:rsid w:val="000677C0"/>
    <w:rsid w:val="00067F79"/>
    <w:rsid w:val="000714B2"/>
    <w:rsid w:val="00072953"/>
    <w:rsid w:val="00073F77"/>
    <w:rsid w:val="00074900"/>
    <w:rsid w:val="00075117"/>
    <w:rsid w:val="000753D7"/>
    <w:rsid w:val="0008151A"/>
    <w:rsid w:val="00082AA1"/>
    <w:rsid w:val="00083B3A"/>
    <w:rsid w:val="00084AD5"/>
    <w:rsid w:val="0008507E"/>
    <w:rsid w:val="0009080C"/>
    <w:rsid w:val="00090CD1"/>
    <w:rsid w:val="00092F7D"/>
    <w:rsid w:val="000937DA"/>
    <w:rsid w:val="0009431A"/>
    <w:rsid w:val="00094AAC"/>
    <w:rsid w:val="0009591B"/>
    <w:rsid w:val="00095AEF"/>
    <w:rsid w:val="00097729"/>
    <w:rsid w:val="00097AB0"/>
    <w:rsid w:val="000A114B"/>
    <w:rsid w:val="000A1841"/>
    <w:rsid w:val="000A3EFB"/>
    <w:rsid w:val="000A4CB8"/>
    <w:rsid w:val="000A59C8"/>
    <w:rsid w:val="000A7A70"/>
    <w:rsid w:val="000B2A85"/>
    <w:rsid w:val="000B4E24"/>
    <w:rsid w:val="000C0A7C"/>
    <w:rsid w:val="000C1C16"/>
    <w:rsid w:val="000C1E23"/>
    <w:rsid w:val="000C248A"/>
    <w:rsid w:val="000C2CAD"/>
    <w:rsid w:val="000C39E9"/>
    <w:rsid w:val="000C707B"/>
    <w:rsid w:val="000D348A"/>
    <w:rsid w:val="000E1BE0"/>
    <w:rsid w:val="000E22BF"/>
    <w:rsid w:val="000F0727"/>
    <w:rsid w:val="000F22AF"/>
    <w:rsid w:val="000F629E"/>
    <w:rsid w:val="000F78D9"/>
    <w:rsid w:val="000F7A4C"/>
    <w:rsid w:val="001006B0"/>
    <w:rsid w:val="00104578"/>
    <w:rsid w:val="00105035"/>
    <w:rsid w:val="0011377A"/>
    <w:rsid w:val="001147B8"/>
    <w:rsid w:val="001260AD"/>
    <w:rsid w:val="00126705"/>
    <w:rsid w:val="00126E39"/>
    <w:rsid w:val="00126E72"/>
    <w:rsid w:val="0012711C"/>
    <w:rsid w:val="0013033F"/>
    <w:rsid w:val="001304D8"/>
    <w:rsid w:val="00135513"/>
    <w:rsid w:val="00136FDD"/>
    <w:rsid w:val="00140A91"/>
    <w:rsid w:val="00142584"/>
    <w:rsid w:val="00142E9F"/>
    <w:rsid w:val="0014652F"/>
    <w:rsid w:val="00146BF9"/>
    <w:rsid w:val="001554FB"/>
    <w:rsid w:val="00157071"/>
    <w:rsid w:val="0015765D"/>
    <w:rsid w:val="00162093"/>
    <w:rsid w:val="0016292C"/>
    <w:rsid w:val="0017268B"/>
    <w:rsid w:val="00176D37"/>
    <w:rsid w:val="0017789D"/>
    <w:rsid w:val="00181E42"/>
    <w:rsid w:val="001823F4"/>
    <w:rsid w:val="00184209"/>
    <w:rsid w:val="00184AED"/>
    <w:rsid w:val="00187FFE"/>
    <w:rsid w:val="001943AC"/>
    <w:rsid w:val="00196AEA"/>
    <w:rsid w:val="00197E4B"/>
    <w:rsid w:val="001A2D44"/>
    <w:rsid w:val="001A4791"/>
    <w:rsid w:val="001A5C99"/>
    <w:rsid w:val="001A63DC"/>
    <w:rsid w:val="001A6997"/>
    <w:rsid w:val="001B2377"/>
    <w:rsid w:val="001B46FE"/>
    <w:rsid w:val="001B6308"/>
    <w:rsid w:val="001C1C42"/>
    <w:rsid w:val="001C3BA6"/>
    <w:rsid w:val="001C5D58"/>
    <w:rsid w:val="001C61FD"/>
    <w:rsid w:val="001D26DB"/>
    <w:rsid w:val="001D2CA3"/>
    <w:rsid w:val="001D3E8F"/>
    <w:rsid w:val="001E1754"/>
    <w:rsid w:val="001E246F"/>
    <w:rsid w:val="001E510C"/>
    <w:rsid w:val="001E5590"/>
    <w:rsid w:val="001E71B9"/>
    <w:rsid w:val="001F003F"/>
    <w:rsid w:val="001F25BA"/>
    <w:rsid w:val="001F35DF"/>
    <w:rsid w:val="001F46F9"/>
    <w:rsid w:val="001F74A6"/>
    <w:rsid w:val="002020D2"/>
    <w:rsid w:val="00203934"/>
    <w:rsid w:val="0020571C"/>
    <w:rsid w:val="00206EC7"/>
    <w:rsid w:val="00213489"/>
    <w:rsid w:val="00216FD7"/>
    <w:rsid w:val="00220B50"/>
    <w:rsid w:val="00221F49"/>
    <w:rsid w:val="00222A19"/>
    <w:rsid w:val="00224C44"/>
    <w:rsid w:val="00225D30"/>
    <w:rsid w:val="00226376"/>
    <w:rsid w:val="00227F1B"/>
    <w:rsid w:val="0023170F"/>
    <w:rsid w:val="00235760"/>
    <w:rsid w:val="0024239D"/>
    <w:rsid w:val="00247150"/>
    <w:rsid w:val="00250076"/>
    <w:rsid w:val="00251354"/>
    <w:rsid w:val="002514A8"/>
    <w:rsid w:val="002610A5"/>
    <w:rsid w:val="00261ABF"/>
    <w:rsid w:val="00262209"/>
    <w:rsid w:val="00262837"/>
    <w:rsid w:val="00264849"/>
    <w:rsid w:val="002652B6"/>
    <w:rsid w:val="00266952"/>
    <w:rsid w:val="00273D86"/>
    <w:rsid w:val="0027689E"/>
    <w:rsid w:val="002772A9"/>
    <w:rsid w:val="002774E7"/>
    <w:rsid w:val="002778AC"/>
    <w:rsid w:val="00282DE5"/>
    <w:rsid w:val="0028334D"/>
    <w:rsid w:val="002867AE"/>
    <w:rsid w:val="0029017B"/>
    <w:rsid w:val="002908B2"/>
    <w:rsid w:val="002911B0"/>
    <w:rsid w:val="00291990"/>
    <w:rsid w:val="00292669"/>
    <w:rsid w:val="002951D3"/>
    <w:rsid w:val="002953FE"/>
    <w:rsid w:val="00295523"/>
    <w:rsid w:val="00295919"/>
    <w:rsid w:val="00296DA5"/>
    <w:rsid w:val="002A54B9"/>
    <w:rsid w:val="002A570A"/>
    <w:rsid w:val="002A5711"/>
    <w:rsid w:val="002B2E45"/>
    <w:rsid w:val="002B305E"/>
    <w:rsid w:val="002B5072"/>
    <w:rsid w:val="002B6EA9"/>
    <w:rsid w:val="002C28FE"/>
    <w:rsid w:val="002C341C"/>
    <w:rsid w:val="002C53DD"/>
    <w:rsid w:val="002C61E3"/>
    <w:rsid w:val="002C6763"/>
    <w:rsid w:val="002C6F80"/>
    <w:rsid w:val="002D0B5F"/>
    <w:rsid w:val="002E296B"/>
    <w:rsid w:val="002E664D"/>
    <w:rsid w:val="002E68C1"/>
    <w:rsid w:val="002E79EC"/>
    <w:rsid w:val="002F11FC"/>
    <w:rsid w:val="002F1914"/>
    <w:rsid w:val="002F2677"/>
    <w:rsid w:val="002F2829"/>
    <w:rsid w:val="002F2DCE"/>
    <w:rsid w:val="002F4A89"/>
    <w:rsid w:val="00305528"/>
    <w:rsid w:val="00305ABE"/>
    <w:rsid w:val="00306383"/>
    <w:rsid w:val="0030718B"/>
    <w:rsid w:val="00313EEF"/>
    <w:rsid w:val="0032022E"/>
    <w:rsid w:val="00320D4F"/>
    <w:rsid w:val="00322C94"/>
    <w:rsid w:val="0032655F"/>
    <w:rsid w:val="003269BD"/>
    <w:rsid w:val="003307C7"/>
    <w:rsid w:val="00332C7C"/>
    <w:rsid w:val="003345AE"/>
    <w:rsid w:val="00336EFD"/>
    <w:rsid w:val="00337CFD"/>
    <w:rsid w:val="003435BD"/>
    <w:rsid w:val="003436C3"/>
    <w:rsid w:val="0034617D"/>
    <w:rsid w:val="003503EB"/>
    <w:rsid w:val="00360262"/>
    <w:rsid w:val="00364845"/>
    <w:rsid w:val="003649DB"/>
    <w:rsid w:val="00364F85"/>
    <w:rsid w:val="003700AA"/>
    <w:rsid w:val="0037380D"/>
    <w:rsid w:val="0037565E"/>
    <w:rsid w:val="00381348"/>
    <w:rsid w:val="00382BF2"/>
    <w:rsid w:val="00382DA5"/>
    <w:rsid w:val="00390CAF"/>
    <w:rsid w:val="003977C8"/>
    <w:rsid w:val="00397BEA"/>
    <w:rsid w:val="003A004C"/>
    <w:rsid w:val="003A028C"/>
    <w:rsid w:val="003A29B8"/>
    <w:rsid w:val="003A4CCB"/>
    <w:rsid w:val="003A66F0"/>
    <w:rsid w:val="003B0B25"/>
    <w:rsid w:val="003B363E"/>
    <w:rsid w:val="003B3A1A"/>
    <w:rsid w:val="003B6437"/>
    <w:rsid w:val="003C49B8"/>
    <w:rsid w:val="003D002B"/>
    <w:rsid w:val="003D1E4F"/>
    <w:rsid w:val="003D3F91"/>
    <w:rsid w:val="003D50C0"/>
    <w:rsid w:val="003E046B"/>
    <w:rsid w:val="003E10B3"/>
    <w:rsid w:val="003E1752"/>
    <w:rsid w:val="003E3748"/>
    <w:rsid w:val="003E3756"/>
    <w:rsid w:val="003E7B29"/>
    <w:rsid w:val="003F0600"/>
    <w:rsid w:val="003F18A7"/>
    <w:rsid w:val="003F3AFE"/>
    <w:rsid w:val="003F5329"/>
    <w:rsid w:val="003F53B4"/>
    <w:rsid w:val="003F5FED"/>
    <w:rsid w:val="003F7553"/>
    <w:rsid w:val="00402A19"/>
    <w:rsid w:val="00404BB6"/>
    <w:rsid w:val="0040549E"/>
    <w:rsid w:val="00412E6F"/>
    <w:rsid w:val="00413C31"/>
    <w:rsid w:val="00416AE8"/>
    <w:rsid w:val="00421D33"/>
    <w:rsid w:val="004239E6"/>
    <w:rsid w:val="00425987"/>
    <w:rsid w:val="00425F9B"/>
    <w:rsid w:val="004307E5"/>
    <w:rsid w:val="0043248D"/>
    <w:rsid w:val="00432F87"/>
    <w:rsid w:val="00435405"/>
    <w:rsid w:val="00441D35"/>
    <w:rsid w:val="0044447D"/>
    <w:rsid w:val="0044486D"/>
    <w:rsid w:val="00445D4E"/>
    <w:rsid w:val="00447162"/>
    <w:rsid w:val="00447A39"/>
    <w:rsid w:val="0045047B"/>
    <w:rsid w:val="00451116"/>
    <w:rsid w:val="00454B5C"/>
    <w:rsid w:val="00455218"/>
    <w:rsid w:val="00456253"/>
    <w:rsid w:val="0045760A"/>
    <w:rsid w:val="0046106A"/>
    <w:rsid w:val="004628D4"/>
    <w:rsid w:val="00462FCD"/>
    <w:rsid w:val="00463155"/>
    <w:rsid w:val="00463455"/>
    <w:rsid w:val="00463F2C"/>
    <w:rsid w:val="0046669D"/>
    <w:rsid w:val="004677A3"/>
    <w:rsid w:val="00471636"/>
    <w:rsid w:val="004735BA"/>
    <w:rsid w:val="00473E7E"/>
    <w:rsid w:val="00474389"/>
    <w:rsid w:val="00474FE1"/>
    <w:rsid w:val="00475BB6"/>
    <w:rsid w:val="00476F5A"/>
    <w:rsid w:val="004828E4"/>
    <w:rsid w:val="00482B23"/>
    <w:rsid w:val="0048686E"/>
    <w:rsid w:val="00487038"/>
    <w:rsid w:val="00487FCA"/>
    <w:rsid w:val="00491F7B"/>
    <w:rsid w:val="004976F8"/>
    <w:rsid w:val="00497A1F"/>
    <w:rsid w:val="004B3B37"/>
    <w:rsid w:val="004B51B3"/>
    <w:rsid w:val="004B58AA"/>
    <w:rsid w:val="004C0DC6"/>
    <w:rsid w:val="004C16C8"/>
    <w:rsid w:val="004C28B9"/>
    <w:rsid w:val="004C4F3B"/>
    <w:rsid w:val="004C5CBC"/>
    <w:rsid w:val="004C7918"/>
    <w:rsid w:val="004D0585"/>
    <w:rsid w:val="004D1145"/>
    <w:rsid w:val="004D1B74"/>
    <w:rsid w:val="004D2719"/>
    <w:rsid w:val="004D3F17"/>
    <w:rsid w:val="004D781A"/>
    <w:rsid w:val="004E01A4"/>
    <w:rsid w:val="004E03EF"/>
    <w:rsid w:val="004E1017"/>
    <w:rsid w:val="004E1C4F"/>
    <w:rsid w:val="004E3F35"/>
    <w:rsid w:val="004E64B1"/>
    <w:rsid w:val="004E763D"/>
    <w:rsid w:val="004F0AB9"/>
    <w:rsid w:val="004F0EFF"/>
    <w:rsid w:val="004F1A25"/>
    <w:rsid w:val="004F3202"/>
    <w:rsid w:val="004F4359"/>
    <w:rsid w:val="00500B1C"/>
    <w:rsid w:val="005041D0"/>
    <w:rsid w:val="00504F8B"/>
    <w:rsid w:val="0050514A"/>
    <w:rsid w:val="0050598D"/>
    <w:rsid w:val="00505B06"/>
    <w:rsid w:val="00507A08"/>
    <w:rsid w:val="00507B03"/>
    <w:rsid w:val="00514B8C"/>
    <w:rsid w:val="00516BC8"/>
    <w:rsid w:val="00522794"/>
    <w:rsid w:val="0052364F"/>
    <w:rsid w:val="005275A7"/>
    <w:rsid w:val="0053125E"/>
    <w:rsid w:val="0053293E"/>
    <w:rsid w:val="00534606"/>
    <w:rsid w:val="0053461C"/>
    <w:rsid w:val="00534B25"/>
    <w:rsid w:val="0054091F"/>
    <w:rsid w:val="0054428B"/>
    <w:rsid w:val="00545B9B"/>
    <w:rsid w:val="00551A32"/>
    <w:rsid w:val="00552033"/>
    <w:rsid w:val="00553CC8"/>
    <w:rsid w:val="00555A5E"/>
    <w:rsid w:val="0055627D"/>
    <w:rsid w:val="00560086"/>
    <w:rsid w:val="0056231D"/>
    <w:rsid w:val="00571920"/>
    <w:rsid w:val="00571BA8"/>
    <w:rsid w:val="00572D06"/>
    <w:rsid w:val="005813C0"/>
    <w:rsid w:val="005839FF"/>
    <w:rsid w:val="00583FFD"/>
    <w:rsid w:val="0058413A"/>
    <w:rsid w:val="00584948"/>
    <w:rsid w:val="00584AD2"/>
    <w:rsid w:val="00584D49"/>
    <w:rsid w:val="00592868"/>
    <w:rsid w:val="0059556D"/>
    <w:rsid w:val="00595586"/>
    <w:rsid w:val="00597F1E"/>
    <w:rsid w:val="005A1526"/>
    <w:rsid w:val="005A2293"/>
    <w:rsid w:val="005A4129"/>
    <w:rsid w:val="005A4C8F"/>
    <w:rsid w:val="005A54F7"/>
    <w:rsid w:val="005B04FC"/>
    <w:rsid w:val="005B53CF"/>
    <w:rsid w:val="005B5EF9"/>
    <w:rsid w:val="005B6735"/>
    <w:rsid w:val="005C1EDA"/>
    <w:rsid w:val="005C2778"/>
    <w:rsid w:val="005C2D62"/>
    <w:rsid w:val="005C47E6"/>
    <w:rsid w:val="005C6586"/>
    <w:rsid w:val="005C6944"/>
    <w:rsid w:val="005D1E30"/>
    <w:rsid w:val="005D3187"/>
    <w:rsid w:val="005E0E12"/>
    <w:rsid w:val="005E1207"/>
    <w:rsid w:val="005F04C5"/>
    <w:rsid w:val="005F5DEE"/>
    <w:rsid w:val="005F6448"/>
    <w:rsid w:val="0060251E"/>
    <w:rsid w:val="00606207"/>
    <w:rsid w:val="00607027"/>
    <w:rsid w:val="00607445"/>
    <w:rsid w:val="006074E6"/>
    <w:rsid w:val="00607CAE"/>
    <w:rsid w:val="006101E1"/>
    <w:rsid w:val="00611C01"/>
    <w:rsid w:val="00612482"/>
    <w:rsid w:val="00612B12"/>
    <w:rsid w:val="00614488"/>
    <w:rsid w:val="00615240"/>
    <w:rsid w:val="00621D57"/>
    <w:rsid w:val="00622929"/>
    <w:rsid w:val="00622DEF"/>
    <w:rsid w:val="006233E6"/>
    <w:rsid w:val="006237E9"/>
    <w:rsid w:val="006238EB"/>
    <w:rsid w:val="00625A96"/>
    <w:rsid w:val="00626089"/>
    <w:rsid w:val="006269FE"/>
    <w:rsid w:val="00627935"/>
    <w:rsid w:val="0063060E"/>
    <w:rsid w:val="0063062B"/>
    <w:rsid w:val="006349B0"/>
    <w:rsid w:val="00640C5F"/>
    <w:rsid w:val="00650115"/>
    <w:rsid w:val="00651AE4"/>
    <w:rsid w:val="00655BEE"/>
    <w:rsid w:val="00657867"/>
    <w:rsid w:val="006617C2"/>
    <w:rsid w:val="00666898"/>
    <w:rsid w:val="006713E3"/>
    <w:rsid w:val="0067591D"/>
    <w:rsid w:val="006772CB"/>
    <w:rsid w:val="00677E75"/>
    <w:rsid w:val="00683370"/>
    <w:rsid w:val="00684E33"/>
    <w:rsid w:val="0069378A"/>
    <w:rsid w:val="0069500E"/>
    <w:rsid w:val="0069785A"/>
    <w:rsid w:val="006A194E"/>
    <w:rsid w:val="006A323D"/>
    <w:rsid w:val="006A4352"/>
    <w:rsid w:val="006A46DF"/>
    <w:rsid w:val="006A7BEF"/>
    <w:rsid w:val="006B172A"/>
    <w:rsid w:val="006B3581"/>
    <w:rsid w:val="006C1104"/>
    <w:rsid w:val="006C2361"/>
    <w:rsid w:val="006C34B3"/>
    <w:rsid w:val="006C3DDE"/>
    <w:rsid w:val="006D140B"/>
    <w:rsid w:val="006D358F"/>
    <w:rsid w:val="006D3E65"/>
    <w:rsid w:val="006D5665"/>
    <w:rsid w:val="006D5BCB"/>
    <w:rsid w:val="006E039E"/>
    <w:rsid w:val="006E155A"/>
    <w:rsid w:val="006E2F5C"/>
    <w:rsid w:val="006E6321"/>
    <w:rsid w:val="006F1697"/>
    <w:rsid w:val="006F2178"/>
    <w:rsid w:val="006F2FF1"/>
    <w:rsid w:val="006F66EF"/>
    <w:rsid w:val="006F7DDD"/>
    <w:rsid w:val="0070055D"/>
    <w:rsid w:val="00703FAF"/>
    <w:rsid w:val="00704150"/>
    <w:rsid w:val="007067FF"/>
    <w:rsid w:val="00710515"/>
    <w:rsid w:val="00712522"/>
    <w:rsid w:val="00714727"/>
    <w:rsid w:val="00715D21"/>
    <w:rsid w:val="00723070"/>
    <w:rsid w:val="00725938"/>
    <w:rsid w:val="00732CF4"/>
    <w:rsid w:val="00733124"/>
    <w:rsid w:val="00737EC6"/>
    <w:rsid w:val="00740DAF"/>
    <w:rsid w:val="00742BFF"/>
    <w:rsid w:val="007446DE"/>
    <w:rsid w:val="00745750"/>
    <w:rsid w:val="00746150"/>
    <w:rsid w:val="00746244"/>
    <w:rsid w:val="00752BF4"/>
    <w:rsid w:val="00754040"/>
    <w:rsid w:val="007549EA"/>
    <w:rsid w:val="007552CA"/>
    <w:rsid w:val="007621CB"/>
    <w:rsid w:val="00762421"/>
    <w:rsid w:val="0077045D"/>
    <w:rsid w:val="00773558"/>
    <w:rsid w:val="00773DFC"/>
    <w:rsid w:val="00773E59"/>
    <w:rsid w:val="0077526C"/>
    <w:rsid w:val="00775CF4"/>
    <w:rsid w:val="00777E4B"/>
    <w:rsid w:val="007800DA"/>
    <w:rsid w:val="00780696"/>
    <w:rsid w:val="0078071A"/>
    <w:rsid w:val="00782748"/>
    <w:rsid w:val="007855B8"/>
    <w:rsid w:val="00790D38"/>
    <w:rsid w:val="00790FD4"/>
    <w:rsid w:val="007927C2"/>
    <w:rsid w:val="00796CE7"/>
    <w:rsid w:val="00797B82"/>
    <w:rsid w:val="007A14FF"/>
    <w:rsid w:val="007A476F"/>
    <w:rsid w:val="007A7396"/>
    <w:rsid w:val="007A7D00"/>
    <w:rsid w:val="007B1DBC"/>
    <w:rsid w:val="007B4A6B"/>
    <w:rsid w:val="007C0CE1"/>
    <w:rsid w:val="007C1B63"/>
    <w:rsid w:val="007C2DA0"/>
    <w:rsid w:val="007C7724"/>
    <w:rsid w:val="007D4815"/>
    <w:rsid w:val="007D537A"/>
    <w:rsid w:val="007D5DA6"/>
    <w:rsid w:val="007E09EB"/>
    <w:rsid w:val="007E1401"/>
    <w:rsid w:val="007E5BF8"/>
    <w:rsid w:val="007E7031"/>
    <w:rsid w:val="007F1052"/>
    <w:rsid w:val="007F3757"/>
    <w:rsid w:val="007F5750"/>
    <w:rsid w:val="007F68D4"/>
    <w:rsid w:val="0080319A"/>
    <w:rsid w:val="008032A5"/>
    <w:rsid w:val="00805AD3"/>
    <w:rsid w:val="00807F18"/>
    <w:rsid w:val="00812F65"/>
    <w:rsid w:val="008157F4"/>
    <w:rsid w:val="00815B8C"/>
    <w:rsid w:val="008166ED"/>
    <w:rsid w:val="008243BF"/>
    <w:rsid w:val="00824739"/>
    <w:rsid w:val="008264A8"/>
    <w:rsid w:val="00827638"/>
    <w:rsid w:val="00831329"/>
    <w:rsid w:val="00832643"/>
    <w:rsid w:val="00832CAE"/>
    <w:rsid w:val="008366C1"/>
    <w:rsid w:val="00837D35"/>
    <w:rsid w:val="00844242"/>
    <w:rsid w:val="00845964"/>
    <w:rsid w:val="008569A2"/>
    <w:rsid w:val="00856DC4"/>
    <w:rsid w:val="00860FE4"/>
    <w:rsid w:val="00863A4A"/>
    <w:rsid w:val="00863C2C"/>
    <w:rsid w:val="008669E0"/>
    <w:rsid w:val="00870D35"/>
    <w:rsid w:val="00873531"/>
    <w:rsid w:val="00873769"/>
    <w:rsid w:val="0087580F"/>
    <w:rsid w:val="008765E6"/>
    <w:rsid w:val="00876661"/>
    <w:rsid w:val="008800F2"/>
    <w:rsid w:val="00880103"/>
    <w:rsid w:val="008877E4"/>
    <w:rsid w:val="00887E9F"/>
    <w:rsid w:val="00890143"/>
    <w:rsid w:val="0089016F"/>
    <w:rsid w:val="008A1059"/>
    <w:rsid w:val="008A30C9"/>
    <w:rsid w:val="008A39AC"/>
    <w:rsid w:val="008A6828"/>
    <w:rsid w:val="008A79FE"/>
    <w:rsid w:val="008B2C55"/>
    <w:rsid w:val="008B542A"/>
    <w:rsid w:val="008B5968"/>
    <w:rsid w:val="008B5CA4"/>
    <w:rsid w:val="008C2B83"/>
    <w:rsid w:val="008D07BD"/>
    <w:rsid w:val="008D0DC6"/>
    <w:rsid w:val="008E1785"/>
    <w:rsid w:val="008E293E"/>
    <w:rsid w:val="008E786A"/>
    <w:rsid w:val="008F08CC"/>
    <w:rsid w:val="008F13AB"/>
    <w:rsid w:val="008F1BA1"/>
    <w:rsid w:val="008F2105"/>
    <w:rsid w:val="008F32FB"/>
    <w:rsid w:val="008F6CE6"/>
    <w:rsid w:val="008F7571"/>
    <w:rsid w:val="0090043F"/>
    <w:rsid w:val="00900543"/>
    <w:rsid w:val="00901BF4"/>
    <w:rsid w:val="00905BA2"/>
    <w:rsid w:val="00906797"/>
    <w:rsid w:val="00907B01"/>
    <w:rsid w:val="00911810"/>
    <w:rsid w:val="00915342"/>
    <w:rsid w:val="00927085"/>
    <w:rsid w:val="0093040F"/>
    <w:rsid w:val="00930669"/>
    <w:rsid w:val="00930984"/>
    <w:rsid w:val="00931B64"/>
    <w:rsid w:val="0093358F"/>
    <w:rsid w:val="009346D9"/>
    <w:rsid w:val="00934712"/>
    <w:rsid w:val="009368A1"/>
    <w:rsid w:val="0093774A"/>
    <w:rsid w:val="00937A58"/>
    <w:rsid w:val="0094088C"/>
    <w:rsid w:val="0094168A"/>
    <w:rsid w:val="00944EFF"/>
    <w:rsid w:val="0094682F"/>
    <w:rsid w:val="00950094"/>
    <w:rsid w:val="00952333"/>
    <w:rsid w:val="009528A2"/>
    <w:rsid w:val="00953360"/>
    <w:rsid w:val="00955D8E"/>
    <w:rsid w:val="00957A85"/>
    <w:rsid w:val="00960915"/>
    <w:rsid w:val="00960F06"/>
    <w:rsid w:val="00962ED7"/>
    <w:rsid w:val="00963FFA"/>
    <w:rsid w:val="00970FFD"/>
    <w:rsid w:val="00971CE7"/>
    <w:rsid w:val="0097211E"/>
    <w:rsid w:val="00972A55"/>
    <w:rsid w:val="00973279"/>
    <w:rsid w:val="00973605"/>
    <w:rsid w:val="009765B7"/>
    <w:rsid w:val="0098145F"/>
    <w:rsid w:val="00982760"/>
    <w:rsid w:val="00983D6A"/>
    <w:rsid w:val="00984CE7"/>
    <w:rsid w:val="00985CA3"/>
    <w:rsid w:val="0098609F"/>
    <w:rsid w:val="0098634F"/>
    <w:rsid w:val="00991C34"/>
    <w:rsid w:val="00995580"/>
    <w:rsid w:val="009966D3"/>
    <w:rsid w:val="0099730A"/>
    <w:rsid w:val="009A1879"/>
    <w:rsid w:val="009A1F7E"/>
    <w:rsid w:val="009A2CCA"/>
    <w:rsid w:val="009A3682"/>
    <w:rsid w:val="009A4762"/>
    <w:rsid w:val="009A6766"/>
    <w:rsid w:val="009B3C3E"/>
    <w:rsid w:val="009B58E3"/>
    <w:rsid w:val="009B63C3"/>
    <w:rsid w:val="009C15F5"/>
    <w:rsid w:val="009C2A9E"/>
    <w:rsid w:val="009C43A8"/>
    <w:rsid w:val="009D4BAE"/>
    <w:rsid w:val="009D6FBC"/>
    <w:rsid w:val="009D711E"/>
    <w:rsid w:val="009D7D63"/>
    <w:rsid w:val="009E2848"/>
    <w:rsid w:val="009E30F7"/>
    <w:rsid w:val="009E4CDD"/>
    <w:rsid w:val="009F3358"/>
    <w:rsid w:val="009F4CD3"/>
    <w:rsid w:val="009F796F"/>
    <w:rsid w:val="00A00EAF"/>
    <w:rsid w:val="00A03ED8"/>
    <w:rsid w:val="00A05A58"/>
    <w:rsid w:val="00A07583"/>
    <w:rsid w:val="00A10279"/>
    <w:rsid w:val="00A108E4"/>
    <w:rsid w:val="00A11EF6"/>
    <w:rsid w:val="00A128F7"/>
    <w:rsid w:val="00A26747"/>
    <w:rsid w:val="00A274AD"/>
    <w:rsid w:val="00A27C67"/>
    <w:rsid w:val="00A27D96"/>
    <w:rsid w:val="00A31587"/>
    <w:rsid w:val="00A32007"/>
    <w:rsid w:val="00A32485"/>
    <w:rsid w:val="00A35D23"/>
    <w:rsid w:val="00A42228"/>
    <w:rsid w:val="00A4265E"/>
    <w:rsid w:val="00A468DF"/>
    <w:rsid w:val="00A61477"/>
    <w:rsid w:val="00A65393"/>
    <w:rsid w:val="00A65F9F"/>
    <w:rsid w:val="00A66C8B"/>
    <w:rsid w:val="00A700B9"/>
    <w:rsid w:val="00A74643"/>
    <w:rsid w:val="00A7632E"/>
    <w:rsid w:val="00A76678"/>
    <w:rsid w:val="00A80F93"/>
    <w:rsid w:val="00A83992"/>
    <w:rsid w:val="00A9216A"/>
    <w:rsid w:val="00AA006D"/>
    <w:rsid w:val="00AA102A"/>
    <w:rsid w:val="00AA13EB"/>
    <w:rsid w:val="00AA1874"/>
    <w:rsid w:val="00AA1FDC"/>
    <w:rsid w:val="00AA4EC0"/>
    <w:rsid w:val="00AB0B62"/>
    <w:rsid w:val="00AB145A"/>
    <w:rsid w:val="00AB3391"/>
    <w:rsid w:val="00AB5463"/>
    <w:rsid w:val="00AB5E4C"/>
    <w:rsid w:val="00AC1690"/>
    <w:rsid w:val="00AC17B3"/>
    <w:rsid w:val="00AC22E8"/>
    <w:rsid w:val="00AC3C29"/>
    <w:rsid w:val="00AC5356"/>
    <w:rsid w:val="00AC539E"/>
    <w:rsid w:val="00AC63C5"/>
    <w:rsid w:val="00AD0E9B"/>
    <w:rsid w:val="00AD17CA"/>
    <w:rsid w:val="00AD1AED"/>
    <w:rsid w:val="00AD27D6"/>
    <w:rsid w:val="00AD5F72"/>
    <w:rsid w:val="00AD7130"/>
    <w:rsid w:val="00AE0CF7"/>
    <w:rsid w:val="00AE2B0A"/>
    <w:rsid w:val="00AE386E"/>
    <w:rsid w:val="00AE45DE"/>
    <w:rsid w:val="00AE525E"/>
    <w:rsid w:val="00AE5E2D"/>
    <w:rsid w:val="00AE6203"/>
    <w:rsid w:val="00AF1310"/>
    <w:rsid w:val="00AF3522"/>
    <w:rsid w:val="00AF7FA3"/>
    <w:rsid w:val="00B0388B"/>
    <w:rsid w:val="00B055C7"/>
    <w:rsid w:val="00B06C4E"/>
    <w:rsid w:val="00B072B9"/>
    <w:rsid w:val="00B10EF1"/>
    <w:rsid w:val="00B11A57"/>
    <w:rsid w:val="00B1290D"/>
    <w:rsid w:val="00B13468"/>
    <w:rsid w:val="00B13E77"/>
    <w:rsid w:val="00B15F07"/>
    <w:rsid w:val="00B17C5A"/>
    <w:rsid w:val="00B20AC5"/>
    <w:rsid w:val="00B21836"/>
    <w:rsid w:val="00B22A63"/>
    <w:rsid w:val="00B26E8B"/>
    <w:rsid w:val="00B27168"/>
    <w:rsid w:val="00B32CB9"/>
    <w:rsid w:val="00B34A08"/>
    <w:rsid w:val="00B34E5D"/>
    <w:rsid w:val="00B359BA"/>
    <w:rsid w:val="00B3747C"/>
    <w:rsid w:val="00B46987"/>
    <w:rsid w:val="00B47464"/>
    <w:rsid w:val="00B47F2D"/>
    <w:rsid w:val="00B5163A"/>
    <w:rsid w:val="00B554A4"/>
    <w:rsid w:val="00B56704"/>
    <w:rsid w:val="00B5769B"/>
    <w:rsid w:val="00B60C6D"/>
    <w:rsid w:val="00B60F84"/>
    <w:rsid w:val="00B63A8E"/>
    <w:rsid w:val="00B6709B"/>
    <w:rsid w:val="00B67E64"/>
    <w:rsid w:val="00B70683"/>
    <w:rsid w:val="00B72065"/>
    <w:rsid w:val="00B72EC6"/>
    <w:rsid w:val="00B75E98"/>
    <w:rsid w:val="00B82036"/>
    <w:rsid w:val="00B83163"/>
    <w:rsid w:val="00B83943"/>
    <w:rsid w:val="00B86CC2"/>
    <w:rsid w:val="00B90250"/>
    <w:rsid w:val="00B93DF0"/>
    <w:rsid w:val="00B94A18"/>
    <w:rsid w:val="00B955E9"/>
    <w:rsid w:val="00B96F71"/>
    <w:rsid w:val="00BA1008"/>
    <w:rsid w:val="00BA381F"/>
    <w:rsid w:val="00BA4CA3"/>
    <w:rsid w:val="00BA59D6"/>
    <w:rsid w:val="00BA72E6"/>
    <w:rsid w:val="00BB0E05"/>
    <w:rsid w:val="00BB1422"/>
    <w:rsid w:val="00BB366B"/>
    <w:rsid w:val="00BB7551"/>
    <w:rsid w:val="00BC4E4E"/>
    <w:rsid w:val="00BC5A5D"/>
    <w:rsid w:val="00BC7A11"/>
    <w:rsid w:val="00BD0305"/>
    <w:rsid w:val="00BD7BDF"/>
    <w:rsid w:val="00BE3685"/>
    <w:rsid w:val="00BE4D80"/>
    <w:rsid w:val="00BF375E"/>
    <w:rsid w:val="00BF3D58"/>
    <w:rsid w:val="00BF6160"/>
    <w:rsid w:val="00BF6BE7"/>
    <w:rsid w:val="00C00952"/>
    <w:rsid w:val="00C00D2B"/>
    <w:rsid w:val="00C034F0"/>
    <w:rsid w:val="00C04FA4"/>
    <w:rsid w:val="00C06638"/>
    <w:rsid w:val="00C06CC8"/>
    <w:rsid w:val="00C104DC"/>
    <w:rsid w:val="00C10C4E"/>
    <w:rsid w:val="00C10C69"/>
    <w:rsid w:val="00C10CE4"/>
    <w:rsid w:val="00C12B2A"/>
    <w:rsid w:val="00C202B9"/>
    <w:rsid w:val="00C21BD9"/>
    <w:rsid w:val="00C225CF"/>
    <w:rsid w:val="00C229E3"/>
    <w:rsid w:val="00C231D3"/>
    <w:rsid w:val="00C30B3B"/>
    <w:rsid w:val="00C32905"/>
    <w:rsid w:val="00C35739"/>
    <w:rsid w:val="00C37BB4"/>
    <w:rsid w:val="00C41ACA"/>
    <w:rsid w:val="00C428C1"/>
    <w:rsid w:val="00C46793"/>
    <w:rsid w:val="00C4685D"/>
    <w:rsid w:val="00C46D08"/>
    <w:rsid w:val="00C5557A"/>
    <w:rsid w:val="00C64228"/>
    <w:rsid w:val="00C67A81"/>
    <w:rsid w:val="00C703A6"/>
    <w:rsid w:val="00C74066"/>
    <w:rsid w:val="00C74F03"/>
    <w:rsid w:val="00C753AA"/>
    <w:rsid w:val="00C879B9"/>
    <w:rsid w:val="00C90C26"/>
    <w:rsid w:val="00C91950"/>
    <w:rsid w:val="00C92556"/>
    <w:rsid w:val="00C9285B"/>
    <w:rsid w:val="00C937C2"/>
    <w:rsid w:val="00CA6870"/>
    <w:rsid w:val="00CB000D"/>
    <w:rsid w:val="00CB236F"/>
    <w:rsid w:val="00CB31F6"/>
    <w:rsid w:val="00CB7DD2"/>
    <w:rsid w:val="00CC2390"/>
    <w:rsid w:val="00CC4DE7"/>
    <w:rsid w:val="00CD03AC"/>
    <w:rsid w:val="00CD1A64"/>
    <w:rsid w:val="00CD5A52"/>
    <w:rsid w:val="00CD5EF3"/>
    <w:rsid w:val="00CD69A2"/>
    <w:rsid w:val="00CE684F"/>
    <w:rsid w:val="00CF2D55"/>
    <w:rsid w:val="00CF3510"/>
    <w:rsid w:val="00CF5FB4"/>
    <w:rsid w:val="00CF7AE9"/>
    <w:rsid w:val="00D00420"/>
    <w:rsid w:val="00D01327"/>
    <w:rsid w:val="00D038F2"/>
    <w:rsid w:val="00D0443B"/>
    <w:rsid w:val="00D05BDE"/>
    <w:rsid w:val="00D05BFD"/>
    <w:rsid w:val="00D1137E"/>
    <w:rsid w:val="00D11B6A"/>
    <w:rsid w:val="00D125C5"/>
    <w:rsid w:val="00D1315B"/>
    <w:rsid w:val="00D1336D"/>
    <w:rsid w:val="00D13DE3"/>
    <w:rsid w:val="00D13F15"/>
    <w:rsid w:val="00D14696"/>
    <w:rsid w:val="00D147AB"/>
    <w:rsid w:val="00D1788F"/>
    <w:rsid w:val="00D21A64"/>
    <w:rsid w:val="00D234F9"/>
    <w:rsid w:val="00D3027A"/>
    <w:rsid w:val="00D304F6"/>
    <w:rsid w:val="00D3496D"/>
    <w:rsid w:val="00D465BE"/>
    <w:rsid w:val="00D5352C"/>
    <w:rsid w:val="00D55425"/>
    <w:rsid w:val="00D5628B"/>
    <w:rsid w:val="00D5663F"/>
    <w:rsid w:val="00D57139"/>
    <w:rsid w:val="00D607C3"/>
    <w:rsid w:val="00D622F5"/>
    <w:rsid w:val="00D6461B"/>
    <w:rsid w:val="00D64B60"/>
    <w:rsid w:val="00D70F74"/>
    <w:rsid w:val="00D723D9"/>
    <w:rsid w:val="00D72B20"/>
    <w:rsid w:val="00D735BE"/>
    <w:rsid w:val="00D74D12"/>
    <w:rsid w:val="00D80196"/>
    <w:rsid w:val="00D811D7"/>
    <w:rsid w:val="00D85DDA"/>
    <w:rsid w:val="00D90DD8"/>
    <w:rsid w:val="00D93EB0"/>
    <w:rsid w:val="00D95A56"/>
    <w:rsid w:val="00D96287"/>
    <w:rsid w:val="00D967CD"/>
    <w:rsid w:val="00DA03B9"/>
    <w:rsid w:val="00DA2880"/>
    <w:rsid w:val="00DA2E1F"/>
    <w:rsid w:val="00DA3540"/>
    <w:rsid w:val="00DA3EDD"/>
    <w:rsid w:val="00DA5A48"/>
    <w:rsid w:val="00DA5DD4"/>
    <w:rsid w:val="00DB2602"/>
    <w:rsid w:val="00DB2A86"/>
    <w:rsid w:val="00DB3155"/>
    <w:rsid w:val="00DC0183"/>
    <w:rsid w:val="00DC0EDA"/>
    <w:rsid w:val="00DC198E"/>
    <w:rsid w:val="00DC27A6"/>
    <w:rsid w:val="00DC4EF8"/>
    <w:rsid w:val="00DD1A5D"/>
    <w:rsid w:val="00DD2111"/>
    <w:rsid w:val="00DD4047"/>
    <w:rsid w:val="00DD68BD"/>
    <w:rsid w:val="00DE0B67"/>
    <w:rsid w:val="00DE27B8"/>
    <w:rsid w:val="00DE3C49"/>
    <w:rsid w:val="00DE5F65"/>
    <w:rsid w:val="00DE66CE"/>
    <w:rsid w:val="00DE6DBA"/>
    <w:rsid w:val="00DE6F87"/>
    <w:rsid w:val="00DF11AB"/>
    <w:rsid w:val="00DF1DB7"/>
    <w:rsid w:val="00DF30F7"/>
    <w:rsid w:val="00DF6F96"/>
    <w:rsid w:val="00DF73B7"/>
    <w:rsid w:val="00E0350D"/>
    <w:rsid w:val="00E03975"/>
    <w:rsid w:val="00E04E87"/>
    <w:rsid w:val="00E05AD4"/>
    <w:rsid w:val="00E06DAF"/>
    <w:rsid w:val="00E102B9"/>
    <w:rsid w:val="00E14C2A"/>
    <w:rsid w:val="00E16FEF"/>
    <w:rsid w:val="00E22CE9"/>
    <w:rsid w:val="00E22E3C"/>
    <w:rsid w:val="00E245B9"/>
    <w:rsid w:val="00E246FC"/>
    <w:rsid w:val="00E253E2"/>
    <w:rsid w:val="00E26F91"/>
    <w:rsid w:val="00E317D1"/>
    <w:rsid w:val="00E3537D"/>
    <w:rsid w:val="00E42289"/>
    <w:rsid w:val="00E43A9F"/>
    <w:rsid w:val="00E45ECC"/>
    <w:rsid w:val="00E53F68"/>
    <w:rsid w:val="00E56AB4"/>
    <w:rsid w:val="00E602F8"/>
    <w:rsid w:val="00E6044D"/>
    <w:rsid w:val="00E62880"/>
    <w:rsid w:val="00E63760"/>
    <w:rsid w:val="00E63857"/>
    <w:rsid w:val="00E6548C"/>
    <w:rsid w:val="00E715F5"/>
    <w:rsid w:val="00E7190F"/>
    <w:rsid w:val="00E75B14"/>
    <w:rsid w:val="00E77049"/>
    <w:rsid w:val="00E829B8"/>
    <w:rsid w:val="00E83213"/>
    <w:rsid w:val="00E914D5"/>
    <w:rsid w:val="00E91D11"/>
    <w:rsid w:val="00E91F28"/>
    <w:rsid w:val="00EA0FE5"/>
    <w:rsid w:val="00EA3017"/>
    <w:rsid w:val="00EA349C"/>
    <w:rsid w:val="00EA3671"/>
    <w:rsid w:val="00EA55B3"/>
    <w:rsid w:val="00EB52E7"/>
    <w:rsid w:val="00EB6DCD"/>
    <w:rsid w:val="00EB7E32"/>
    <w:rsid w:val="00EC0E7F"/>
    <w:rsid w:val="00EC12A0"/>
    <w:rsid w:val="00EC12FB"/>
    <w:rsid w:val="00EC186B"/>
    <w:rsid w:val="00EC219A"/>
    <w:rsid w:val="00EC251B"/>
    <w:rsid w:val="00EC426A"/>
    <w:rsid w:val="00EC43B0"/>
    <w:rsid w:val="00ED08D7"/>
    <w:rsid w:val="00ED1112"/>
    <w:rsid w:val="00ED1396"/>
    <w:rsid w:val="00ED2724"/>
    <w:rsid w:val="00ED68CD"/>
    <w:rsid w:val="00ED76F0"/>
    <w:rsid w:val="00ED783D"/>
    <w:rsid w:val="00EE140F"/>
    <w:rsid w:val="00EE1AB3"/>
    <w:rsid w:val="00EE31EA"/>
    <w:rsid w:val="00EE40DA"/>
    <w:rsid w:val="00EF29CE"/>
    <w:rsid w:val="00F038D8"/>
    <w:rsid w:val="00F046B4"/>
    <w:rsid w:val="00F0501E"/>
    <w:rsid w:val="00F05E56"/>
    <w:rsid w:val="00F05FA0"/>
    <w:rsid w:val="00F0656A"/>
    <w:rsid w:val="00F06853"/>
    <w:rsid w:val="00F16037"/>
    <w:rsid w:val="00F24525"/>
    <w:rsid w:val="00F27D8E"/>
    <w:rsid w:val="00F31827"/>
    <w:rsid w:val="00F3275A"/>
    <w:rsid w:val="00F344AB"/>
    <w:rsid w:val="00F34F8B"/>
    <w:rsid w:val="00F371A3"/>
    <w:rsid w:val="00F37C07"/>
    <w:rsid w:val="00F37E91"/>
    <w:rsid w:val="00F41415"/>
    <w:rsid w:val="00F41504"/>
    <w:rsid w:val="00F43B00"/>
    <w:rsid w:val="00F510E1"/>
    <w:rsid w:val="00F55EA3"/>
    <w:rsid w:val="00F631BC"/>
    <w:rsid w:val="00F6772C"/>
    <w:rsid w:val="00F67EC4"/>
    <w:rsid w:val="00F712B3"/>
    <w:rsid w:val="00F7361A"/>
    <w:rsid w:val="00F825B8"/>
    <w:rsid w:val="00F82720"/>
    <w:rsid w:val="00F841F2"/>
    <w:rsid w:val="00F8472D"/>
    <w:rsid w:val="00F847F4"/>
    <w:rsid w:val="00F857E0"/>
    <w:rsid w:val="00F90BAB"/>
    <w:rsid w:val="00F962DB"/>
    <w:rsid w:val="00FA3E64"/>
    <w:rsid w:val="00FB2E32"/>
    <w:rsid w:val="00FB2E5D"/>
    <w:rsid w:val="00FB72EE"/>
    <w:rsid w:val="00FC3D8D"/>
    <w:rsid w:val="00FC553B"/>
    <w:rsid w:val="00FD2AA3"/>
    <w:rsid w:val="00FD3367"/>
    <w:rsid w:val="00FD5A8C"/>
    <w:rsid w:val="00FD6EDC"/>
    <w:rsid w:val="00FE19E1"/>
    <w:rsid w:val="00FE43CA"/>
    <w:rsid w:val="00FE58E4"/>
    <w:rsid w:val="00FE5EB5"/>
    <w:rsid w:val="00FE70B2"/>
    <w:rsid w:val="00FF07FC"/>
    <w:rsid w:val="00FF1239"/>
    <w:rsid w:val="00FF5A66"/>
    <w:rsid w:val="01585D17"/>
    <w:rsid w:val="039D4838"/>
    <w:rsid w:val="05A06678"/>
    <w:rsid w:val="0815313A"/>
    <w:rsid w:val="084200A9"/>
    <w:rsid w:val="08CF1FDC"/>
    <w:rsid w:val="0D734E1A"/>
    <w:rsid w:val="0EAE4198"/>
    <w:rsid w:val="1D265673"/>
    <w:rsid w:val="236F511F"/>
    <w:rsid w:val="2410253F"/>
    <w:rsid w:val="283237B7"/>
    <w:rsid w:val="2906594B"/>
    <w:rsid w:val="2A6628B6"/>
    <w:rsid w:val="2DAB5E07"/>
    <w:rsid w:val="2F957371"/>
    <w:rsid w:val="310832EA"/>
    <w:rsid w:val="31307FD3"/>
    <w:rsid w:val="36116E30"/>
    <w:rsid w:val="37D17235"/>
    <w:rsid w:val="3F7760EA"/>
    <w:rsid w:val="406B7CD4"/>
    <w:rsid w:val="417B6C67"/>
    <w:rsid w:val="46451DFB"/>
    <w:rsid w:val="47FC2462"/>
    <w:rsid w:val="4876451A"/>
    <w:rsid w:val="49AE7064"/>
    <w:rsid w:val="626C6ABC"/>
    <w:rsid w:val="62AD54C1"/>
    <w:rsid w:val="65D3357A"/>
    <w:rsid w:val="6CBB7E6B"/>
    <w:rsid w:val="71520BDD"/>
    <w:rsid w:val="78905467"/>
    <w:rsid w:val="799856C0"/>
    <w:rsid w:val="FB9F56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9" w:semiHidden="0" w:name="heading 3"/>
    <w:lsdException w:qFormat="1" w:uiPriority="0" w:semiHidden="0" w:name="heading 4"/>
    <w:lsdException w:qFormat="1" w:uiPriority="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iPriority="99" w:semiHidden="0"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0" w:semiHidden="0" w:name="Table Grid"/>
    <w:lsdException w:qFormat="1"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ind w:firstLine="420" w:firstLineChars="200"/>
      <w:jc w:val="both"/>
    </w:pPr>
    <w:rPr>
      <w:rFonts w:eastAsia="仿宋" w:asciiTheme="minorHAnsi" w:hAnsiTheme="minorHAnsi" w:cstheme="minorBidi"/>
      <w:kern w:val="2"/>
      <w:sz w:val="32"/>
      <w:szCs w:val="22"/>
      <w:lang w:val="en-US" w:eastAsia="zh-CN" w:bidi="ar-SA"/>
    </w:rPr>
  </w:style>
  <w:style w:type="paragraph" w:styleId="3">
    <w:name w:val="heading 1"/>
    <w:basedOn w:val="1"/>
    <w:next w:val="1"/>
    <w:link w:val="36"/>
    <w:qFormat/>
    <w:uiPriority w:val="0"/>
    <w:pPr>
      <w:keepNext/>
      <w:keepLines/>
      <w:spacing w:before="340" w:after="330" w:line="579" w:lineRule="auto"/>
      <w:ind w:firstLine="0" w:firstLineChars="0"/>
      <w:jc w:val="center"/>
      <w:outlineLvl w:val="0"/>
    </w:pPr>
    <w:rPr>
      <w:rFonts w:eastAsia="黑体"/>
      <w:b/>
      <w:bCs/>
      <w:kern w:val="44"/>
      <w:sz w:val="30"/>
      <w:szCs w:val="44"/>
    </w:rPr>
  </w:style>
  <w:style w:type="paragraph" w:styleId="4">
    <w:name w:val="heading 2"/>
    <w:basedOn w:val="1"/>
    <w:next w:val="1"/>
    <w:link w:val="41"/>
    <w:unhideWhenUsed/>
    <w:qFormat/>
    <w:uiPriority w:val="0"/>
    <w:pPr>
      <w:keepNext/>
      <w:keepLines/>
      <w:spacing w:before="140" w:after="140" w:line="416" w:lineRule="auto"/>
      <w:ind w:firstLine="0" w:firstLineChars="0"/>
      <w:jc w:val="center"/>
      <w:outlineLvl w:val="1"/>
    </w:pPr>
    <w:rPr>
      <w:rFonts w:eastAsia="仿宋_GB2312" w:asciiTheme="majorHAnsi" w:hAnsiTheme="majorHAnsi" w:cstheme="majorBidi"/>
      <w:b/>
      <w:bCs/>
      <w:szCs w:val="32"/>
    </w:rPr>
  </w:style>
  <w:style w:type="paragraph" w:styleId="5">
    <w:name w:val="heading 3"/>
    <w:basedOn w:val="1"/>
    <w:next w:val="1"/>
    <w:link w:val="37"/>
    <w:unhideWhenUsed/>
    <w:qFormat/>
    <w:uiPriority w:val="9"/>
    <w:pPr>
      <w:keepNext/>
      <w:keepLines/>
      <w:spacing w:before="260" w:after="260" w:line="416" w:lineRule="auto"/>
      <w:outlineLvl w:val="2"/>
    </w:pPr>
    <w:rPr>
      <w:b/>
      <w:bCs/>
      <w:szCs w:val="32"/>
    </w:rPr>
  </w:style>
  <w:style w:type="paragraph" w:styleId="6">
    <w:name w:val="heading 4"/>
    <w:basedOn w:val="1"/>
    <w:next w:val="1"/>
    <w:link w:val="46"/>
    <w:unhideWhenUsed/>
    <w:qFormat/>
    <w:uiPriority w:val="0"/>
    <w:pPr>
      <w:keepNext/>
      <w:keepLines/>
      <w:adjustRightInd w:val="0"/>
      <w:snapToGrid w:val="0"/>
      <w:spacing w:beforeLines="50" w:afterLines="50"/>
      <w:ind w:firstLine="0" w:firstLineChars="0"/>
      <w:outlineLvl w:val="3"/>
    </w:pPr>
    <w:rPr>
      <w:rFonts w:ascii="宋体" w:hAnsi="宋体" w:eastAsia="仿宋_GB2312" w:cs="宋体"/>
      <w:b/>
      <w:bCs/>
      <w:szCs w:val="28"/>
      <w:lang w:val="zh-CN"/>
    </w:rPr>
  </w:style>
  <w:style w:type="paragraph" w:styleId="7">
    <w:name w:val="heading 5"/>
    <w:basedOn w:val="1"/>
    <w:next w:val="1"/>
    <w:link w:val="47"/>
    <w:semiHidden/>
    <w:unhideWhenUsed/>
    <w:qFormat/>
    <w:uiPriority w:val="0"/>
    <w:pPr>
      <w:keepNext/>
      <w:keepLines/>
      <w:adjustRightInd w:val="0"/>
      <w:snapToGrid w:val="0"/>
      <w:spacing w:before="100" w:after="100" w:line="500" w:lineRule="exact"/>
      <w:ind w:firstLine="0" w:firstLineChars="0"/>
      <w:jc w:val="center"/>
      <w:outlineLvl w:val="4"/>
    </w:pPr>
    <w:rPr>
      <w:rFonts w:ascii="华文中宋" w:hAnsi="华文中宋" w:eastAsia="华文中宋" w:cs="宋体"/>
      <w:b/>
      <w:bCs/>
      <w:szCs w:val="28"/>
    </w:rPr>
  </w:style>
  <w:style w:type="paragraph" w:styleId="8">
    <w:name w:val="heading 7"/>
    <w:next w:val="1"/>
    <w:link w:val="48"/>
    <w:semiHidden/>
    <w:unhideWhenUsed/>
    <w:qFormat/>
    <w:uiPriority w:val="9"/>
    <w:pPr>
      <w:keepNext/>
      <w:widowControl w:val="0"/>
      <w:adjustRightInd w:val="0"/>
      <w:snapToGrid w:val="0"/>
      <w:spacing w:beforeLines="20" w:afterLines="20"/>
      <w:jc w:val="center"/>
      <w:outlineLvl w:val="6"/>
    </w:pPr>
    <w:rPr>
      <w:rFonts w:ascii="华文中宋" w:hAnsi="华文中宋" w:eastAsia="华文中宋" w:cs="Times New Roman"/>
      <w:b/>
      <w:kern w:val="2"/>
      <w:sz w:val="24"/>
      <w:szCs w:val="24"/>
      <w:lang w:val="en-US" w:eastAsia="zh-CN" w:bidi="ar-SA"/>
    </w:rPr>
  </w:style>
  <w:style w:type="character" w:default="1" w:styleId="31">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2">
    <w:name w:val="header"/>
    <w:basedOn w:val="1"/>
    <w:link w:val="38"/>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toc 7"/>
    <w:basedOn w:val="1"/>
    <w:next w:val="1"/>
    <w:unhideWhenUsed/>
    <w:qFormat/>
    <w:uiPriority w:val="39"/>
    <w:pPr>
      <w:ind w:left="1920"/>
      <w:jc w:val="left"/>
    </w:pPr>
    <w:rPr>
      <w:sz w:val="18"/>
      <w:szCs w:val="18"/>
    </w:rPr>
  </w:style>
  <w:style w:type="paragraph" w:styleId="10">
    <w:name w:val="Normal Indent"/>
    <w:basedOn w:val="1"/>
    <w:qFormat/>
    <w:uiPriority w:val="0"/>
    <w:rPr>
      <w:rFonts w:eastAsiaTheme="minorEastAsia"/>
      <w:sz w:val="21"/>
    </w:rPr>
  </w:style>
  <w:style w:type="paragraph" w:styleId="11">
    <w:name w:val="caption"/>
    <w:basedOn w:val="1"/>
    <w:next w:val="1"/>
    <w:unhideWhenUsed/>
    <w:qFormat/>
    <w:uiPriority w:val="35"/>
    <w:rPr>
      <w:rFonts w:eastAsia="黑体" w:asciiTheme="majorHAnsi" w:hAnsiTheme="majorHAnsi" w:cstheme="majorBidi"/>
      <w:sz w:val="20"/>
      <w:szCs w:val="20"/>
    </w:rPr>
  </w:style>
  <w:style w:type="paragraph" w:styleId="12">
    <w:name w:val="Body Text"/>
    <w:basedOn w:val="1"/>
    <w:link w:val="42"/>
    <w:qFormat/>
    <w:uiPriority w:val="0"/>
    <w:pPr>
      <w:ind w:firstLine="0" w:firstLineChars="0"/>
    </w:pPr>
    <w:rPr>
      <w:rFonts w:ascii="Calibri" w:hAnsi="Calibri" w:eastAsia="宋体" w:cs="Times New Roman"/>
      <w:sz w:val="21"/>
    </w:rPr>
  </w:style>
  <w:style w:type="paragraph" w:styleId="13">
    <w:name w:val="toc 5"/>
    <w:basedOn w:val="1"/>
    <w:next w:val="1"/>
    <w:unhideWhenUsed/>
    <w:qFormat/>
    <w:uiPriority w:val="39"/>
    <w:pPr>
      <w:ind w:left="1280"/>
      <w:jc w:val="left"/>
    </w:pPr>
    <w:rPr>
      <w:sz w:val="18"/>
      <w:szCs w:val="18"/>
    </w:rPr>
  </w:style>
  <w:style w:type="paragraph" w:styleId="14">
    <w:name w:val="toc 3"/>
    <w:basedOn w:val="1"/>
    <w:next w:val="1"/>
    <w:unhideWhenUsed/>
    <w:qFormat/>
    <w:uiPriority w:val="39"/>
    <w:pPr>
      <w:ind w:left="640"/>
      <w:jc w:val="left"/>
    </w:pPr>
    <w:rPr>
      <w:i/>
      <w:iCs/>
      <w:sz w:val="20"/>
      <w:szCs w:val="20"/>
    </w:rPr>
  </w:style>
  <w:style w:type="paragraph" w:styleId="15">
    <w:name w:val="Plain Text"/>
    <w:basedOn w:val="1"/>
    <w:qFormat/>
    <w:uiPriority w:val="0"/>
    <w:rPr>
      <w:rFonts w:ascii="宋体" w:hAnsi="Courier New"/>
    </w:rPr>
  </w:style>
  <w:style w:type="paragraph" w:styleId="16">
    <w:name w:val="toc 8"/>
    <w:basedOn w:val="1"/>
    <w:next w:val="1"/>
    <w:unhideWhenUsed/>
    <w:qFormat/>
    <w:uiPriority w:val="39"/>
    <w:pPr>
      <w:ind w:left="2240"/>
      <w:jc w:val="left"/>
    </w:pPr>
    <w:rPr>
      <w:sz w:val="18"/>
      <w:szCs w:val="18"/>
    </w:rPr>
  </w:style>
  <w:style w:type="paragraph" w:styleId="17">
    <w:name w:val="Date"/>
    <w:basedOn w:val="1"/>
    <w:next w:val="1"/>
    <w:qFormat/>
    <w:uiPriority w:val="0"/>
    <w:pPr>
      <w:ind w:left="100"/>
    </w:pPr>
    <w:rPr>
      <w:rFonts w:eastAsia="仿宋_GB2312"/>
    </w:rPr>
  </w:style>
  <w:style w:type="paragraph" w:styleId="18">
    <w:name w:val="Body Text Indent 2"/>
    <w:basedOn w:val="1"/>
    <w:link w:val="54"/>
    <w:unhideWhenUsed/>
    <w:qFormat/>
    <w:uiPriority w:val="99"/>
    <w:pPr>
      <w:spacing w:after="120" w:line="480" w:lineRule="auto"/>
      <w:ind w:left="420" w:leftChars="200"/>
    </w:pPr>
  </w:style>
  <w:style w:type="paragraph" w:styleId="19">
    <w:name w:val="Balloon Text"/>
    <w:basedOn w:val="1"/>
    <w:link w:val="50"/>
    <w:semiHidden/>
    <w:unhideWhenUsed/>
    <w:qFormat/>
    <w:uiPriority w:val="99"/>
    <w:rPr>
      <w:sz w:val="18"/>
      <w:szCs w:val="18"/>
    </w:rPr>
  </w:style>
  <w:style w:type="paragraph" w:styleId="20">
    <w:name w:val="footer"/>
    <w:basedOn w:val="1"/>
    <w:link w:val="39"/>
    <w:unhideWhenUsed/>
    <w:qFormat/>
    <w:uiPriority w:val="99"/>
    <w:pPr>
      <w:tabs>
        <w:tab w:val="center" w:pos="4153"/>
        <w:tab w:val="right" w:pos="8306"/>
      </w:tabs>
      <w:snapToGrid w:val="0"/>
      <w:jc w:val="left"/>
    </w:pPr>
    <w:rPr>
      <w:sz w:val="18"/>
      <w:szCs w:val="18"/>
    </w:rPr>
  </w:style>
  <w:style w:type="paragraph" w:styleId="21">
    <w:name w:val="toc 1"/>
    <w:basedOn w:val="1"/>
    <w:next w:val="1"/>
    <w:qFormat/>
    <w:uiPriority w:val="39"/>
    <w:pPr>
      <w:spacing w:before="120" w:after="120"/>
      <w:jc w:val="left"/>
    </w:pPr>
    <w:rPr>
      <w:b/>
      <w:bCs/>
      <w:caps/>
      <w:sz w:val="20"/>
      <w:szCs w:val="20"/>
    </w:rPr>
  </w:style>
  <w:style w:type="paragraph" w:styleId="22">
    <w:name w:val="toc 4"/>
    <w:basedOn w:val="1"/>
    <w:next w:val="1"/>
    <w:unhideWhenUsed/>
    <w:qFormat/>
    <w:uiPriority w:val="39"/>
    <w:pPr>
      <w:ind w:left="960"/>
      <w:jc w:val="left"/>
    </w:pPr>
    <w:rPr>
      <w:sz w:val="18"/>
      <w:szCs w:val="18"/>
    </w:rPr>
  </w:style>
  <w:style w:type="paragraph" w:styleId="23">
    <w:name w:val="toc 6"/>
    <w:basedOn w:val="1"/>
    <w:next w:val="1"/>
    <w:unhideWhenUsed/>
    <w:qFormat/>
    <w:uiPriority w:val="39"/>
    <w:pPr>
      <w:ind w:left="1600"/>
      <w:jc w:val="left"/>
    </w:pPr>
    <w:rPr>
      <w:sz w:val="18"/>
      <w:szCs w:val="18"/>
    </w:rPr>
  </w:style>
  <w:style w:type="paragraph" w:styleId="24">
    <w:name w:val="toc 2"/>
    <w:basedOn w:val="1"/>
    <w:next w:val="1"/>
    <w:unhideWhenUsed/>
    <w:qFormat/>
    <w:uiPriority w:val="39"/>
    <w:pPr>
      <w:ind w:left="320"/>
      <w:jc w:val="left"/>
    </w:pPr>
    <w:rPr>
      <w:smallCaps/>
      <w:sz w:val="20"/>
      <w:szCs w:val="20"/>
    </w:rPr>
  </w:style>
  <w:style w:type="paragraph" w:styleId="25">
    <w:name w:val="toc 9"/>
    <w:basedOn w:val="1"/>
    <w:next w:val="1"/>
    <w:unhideWhenUsed/>
    <w:qFormat/>
    <w:uiPriority w:val="39"/>
    <w:pPr>
      <w:ind w:left="2560"/>
      <w:jc w:val="left"/>
    </w:pPr>
    <w:rPr>
      <w:sz w:val="18"/>
      <w:szCs w:val="18"/>
    </w:rPr>
  </w:style>
  <w:style w:type="paragraph" w:styleId="26">
    <w:name w:val="HTML Preformatted"/>
    <w:basedOn w:val="1"/>
    <w:link w:val="56"/>
    <w:semiHidden/>
    <w:unhideWhenUsed/>
    <w:qFormat/>
    <w:uiPriority w:val="99"/>
    <w:pPr>
      <w:widowControl/>
      <w:jc w:val="left"/>
    </w:pPr>
    <w:rPr>
      <w:rFonts w:ascii="宋体" w:hAnsi="宋体" w:eastAsia="宋体" w:cs="宋体"/>
      <w:kern w:val="0"/>
      <w:sz w:val="24"/>
      <w:szCs w:val="24"/>
    </w:rPr>
  </w:style>
  <w:style w:type="paragraph" w:styleId="27">
    <w:name w:val="Normal (Web)"/>
    <w:basedOn w:val="1"/>
    <w:unhideWhenUsed/>
    <w:qFormat/>
    <w:uiPriority w:val="0"/>
    <w:pPr>
      <w:spacing w:beforeAutospacing="1" w:afterAutospacing="1"/>
      <w:jc w:val="left"/>
    </w:pPr>
    <w:rPr>
      <w:rFonts w:cs="Times New Roman"/>
      <w:kern w:val="0"/>
      <w:sz w:val="24"/>
    </w:rPr>
  </w:style>
  <w:style w:type="table" w:styleId="29">
    <w:name w:val="Table Grid"/>
    <w:basedOn w:val="28"/>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30">
    <w:name w:val="Table Theme"/>
    <w:basedOn w:val="28"/>
    <w:semiHidden/>
    <w:unhideWhenUsed/>
    <w:qFormat/>
    <w:uiPriority w:val="0"/>
    <w:pPr>
      <w:widowControl w:val="0"/>
      <w:adjustRightInd w:val="0"/>
      <w:snapToGrid w:val="0"/>
      <w:jc w:val="both"/>
    </w:pPr>
    <w:tblPr>
      <w:tblBorders>
        <w:top w:val="thinThickSmallGap" w:color="auto" w:sz="12" w:space="0"/>
        <w:bottom w:val="thickThinSmallGap" w:color="auto" w:sz="12" w:space="0"/>
        <w:insideH w:val="single" w:color="auto" w:sz="4" w:space="0"/>
        <w:insideV w:val="single" w:color="auto" w:sz="4" w:space="0"/>
      </w:tblBorders>
      <w:tblCellMar>
        <w:top w:w="0" w:type="dxa"/>
        <w:left w:w="108" w:type="dxa"/>
        <w:bottom w:w="0" w:type="dxa"/>
        <w:right w:w="108" w:type="dxa"/>
      </w:tblCellMar>
    </w:tblPr>
    <w:tcPr>
      <w:vAlign w:val="center"/>
    </w:tcPr>
  </w:style>
  <w:style w:type="character" w:styleId="32">
    <w:name w:val="Strong"/>
    <w:basedOn w:val="31"/>
    <w:qFormat/>
    <w:uiPriority w:val="22"/>
    <w:rPr>
      <w:b/>
      <w:bCs/>
    </w:rPr>
  </w:style>
  <w:style w:type="character" w:styleId="33">
    <w:name w:val="page number"/>
    <w:basedOn w:val="31"/>
    <w:qFormat/>
    <w:uiPriority w:val="0"/>
  </w:style>
  <w:style w:type="character" w:styleId="34">
    <w:name w:val="Emphasis"/>
    <w:basedOn w:val="31"/>
    <w:qFormat/>
    <w:uiPriority w:val="20"/>
  </w:style>
  <w:style w:type="character" w:styleId="35">
    <w:name w:val="Hyperlink"/>
    <w:basedOn w:val="31"/>
    <w:unhideWhenUsed/>
    <w:qFormat/>
    <w:uiPriority w:val="99"/>
    <w:rPr>
      <w:color w:val="0000FF" w:themeColor="hyperlink"/>
      <w:u w:val="single"/>
    </w:rPr>
  </w:style>
  <w:style w:type="character" w:customStyle="1" w:styleId="36">
    <w:name w:val="标题 1 Char"/>
    <w:basedOn w:val="31"/>
    <w:link w:val="3"/>
    <w:qFormat/>
    <w:uiPriority w:val="9"/>
    <w:rPr>
      <w:rFonts w:eastAsia="黑体" w:asciiTheme="minorHAnsi" w:hAnsiTheme="minorHAnsi"/>
      <w:b/>
      <w:bCs/>
      <w:kern w:val="44"/>
      <w:sz w:val="30"/>
      <w:szCs w:val="44"/>
    </w:rPr>
  </w:style>
  <w:style w:type="character" w:customStyle="1" w:styleId="37">
    <w:name w:val="标题 3 Char"/>
    <w:basedOn w:val="31"/>
    <w:link w:val="5"/>
    <w:qFormat/>
    <w:uiPriority w:val="9"/>
    <w:rPr>
      <w:rFonts w:eastAsia="仿宋"/>
      <w:b/>
      <w:bCs/>
      <w:sz w:val="32"/>
      <w:szCs w:val="32"/>
    </w:rPr>
  </w:style>
  <w:style w:type="character" w:customStyle="1" w:styleId="38">
    <w:name w:val="页眉 Char"/>
    <w:basedOn w:val="31"/>
    <w:link w:val="2"/>
    <w:qFormat/>
    <w:uiPriority w:val="99"/>
    <w:rPr>
      <w:sz w:val="18"/>
      <w:szCs w:val="18"/>
    </w:rPr>
  </w:style>
  <w:style w:type="character" w:customStyle="1" w:styleId="39">
    <w:name w:val="页脚 Char"/>
    <w:basedOn w:val="31"/>
    <w:link w:val="20"/>
    <w:qFormat/>
    <w:uiPriority w:val="99"/>
    <w:rPr>
      <w:sz w:val="18"/>
      <w:szCs w:val="18"/>
    </w:rPr>
  </w:style>
  <w:style w:type="paragraph" w:styleId="40">
    <w:name w:val="List Paragraph"/>
    <w:basedOn w:val="1"/>
    <w:qFormat/>
    <w:uiPriority w:val="1"/>
  </w:style>
  <w:style w:type="character" w:customStyle="1" w:styleId="41">
    <w:name w:val="标题 2 Char"/>
    <w:basedOn w:val="31"/>
    <w:link w:val="4"/>
    <w:qFormat/>
    <w:uiPriority w:val="9"/>
    <w:rPr>
      <w:rFonts w:eastAsia="仿宋_GB2312" w:asciiTheme="majorHAnsi" w:hAnsiTheme="majorHAnsi" w:cstheme="majorBidi"/>
      <w:b/>
      <w:bCs/>
      <w:sz w:val="32"/>
      <w:szCs w:val="32"/>
    </w:rPr>
  </w:style>
  <w:style w:type="character" w:customStyle="1" w:styleId="42">
    <w:name w:val="正文文本 Char1"/>
    <w:link w:val="12"/>
    <w:qFormat/>
    <w:uiPriority w:val="0"/>
    <w:rPr>
      <w:rFonts w:ascii="Calibri" w:hAnsi="Calibri" w:eastAsia="宋体" w:cs="Times New Roman"/>
    </w:rPr>
  </w:style>
  <w:style w:type="character" w:customStyle="1" w:styleId="43">
    <w:name w:val="正文文本 Char"/>
    <w:basedOn w:val="31"/>
    <w:semiHidden/>
    <w:qFormat/>
    <w:uiPriority w:val="99"/>
    <w:rPr>
      <w:rFonts w:eastAsia="仿宋"/>
      <w:sz w:val="28"/>
    </w:rPr>
  </w:style>
  <w:style w:type="paragraph" w:customStyle="1" w:styleId="44">
    <w:name w:val="Char Char Char Char Char Char Char Char Char Char Char Char Char Char Char Char Char Char Char Char Char Char Char Char Char Char Char Char Char Char Char"/>
    <w:basedOn w:val="1"/>
    <w:qFormat/>
    <w:uiPriority w:val="0"/>
    <w:pPr>
      <w:spacing w:line="360" w:lineRule="auto"/>
      <w:ind w:firstLine="0" w:firstLineChars="0"/>
    </w:pPr>
    <w:rPr>
      <w:rFonts w:ascii="Bookman Old Style" w:hAnsi="Bookman Old Style" w:eastAsia="微软雅黑" w:cs="Times New Roman"/>
      <w:szCs w:val="28"/>
    </w:rPr>
  </w:style>
  <w:style w:type="paragraph" w:customStyle="1" w:styleId="45">
    <w:name w:val="默认段落字体 Para Char"/>
    <w:basedOn w:val="1"/>
    <w:qFormat/>
    <w:uiPriority w:val="0"/>
    <w:pPr>
      <w:adjustRightInd w:val="0"/>
      <w:spacing w:line="360" w:lineRule="auto"/>
      <w:ind w:firstLine="0" w:firstLineChars="0"/>
    </w:pPr>
    <w:rPr>
      <w:rFonts w:ascii="Calibri" w:hAnsi="Calibri" w:eastAsia="宋体" w:cs="Times New Roman"/>
      <w:sz w:val="21"/>
      <w:szCs w:val="24"/>
    </w:rPr>
  </w:style>
  <w:style w:type="character" w:customStyle="1" w:styleId="46">
    <w:name w:val="标题 4 Char"/>
    <w:basedOn w:val="31"/>
    <w:link w:val="6"/>
    <w:qFormat/>
    <w:uiPriority w:val="0"/>
    <w:rPr>
      <w:rFonts w:ascii="宋体" w:hAnsi="宋体" w:eastAsia="仿宋_GB2312" w:cs="宋体"/>
      <w:b/>
      <w:bCs/>
      <w:sz w:val="28"/>
      <w:szCs w:val="28"/>
      <w:lang w:val="zh-CN" w:eastAsia="zh-CN"/>
    </w:rPr>
  </w:style>
  <w:style w:type="character" w:customStyle="1" w:styleId="47">
    <w:name w:val="标题 5 Char"/>
    <w:basedOn w:val="31"/>
    <w:link w:val="7"/>
    <w:semiHidden/>
    <w:qFormat/>
    <w:uiPriority w:val="0"/>
    <w:rPr>
      <w:rFonts w:ascii="华文中宋" w:hAnsi="华文中宋" w:eastAsia="华文中宋" w:cs="宋体"/>
      <w:b/>
      <w:bCs/>
      <w:sz w:val="28"/>
      <w:szCs w:val="28"/>
    </w:rPr>
  </w:style>
  <w:style w:type="character" w:customStyle="1" w:styleId="48">
    <w:name w:val="标题 7 Char"/>
    <w:basedOn w:val="31"/>
    <w:link w:val="8"/>
    <w:semiHidden/>
    <w:qFormat/>
    <w:uiPriority w:val="9"/>
    <w:rPr>
      <w:rFonts w:ascii="华文中宋" w:hAnsi="华文中宋" w:eastAsia="华文中宋" w:cs="Times New Roman"/>
      <w:b/>
      <w:sz w:val="24"/>
      <w:szCs w:val="24"/>
    </w:rPr>
  </w:style>
  <w:style w:type="paragraph" w:customStyle="1" w:styleId="49">
    <w:name w:val="图标题"/>
    <w:basedOn w:val="1"/>
    <w:qFormat/>
    <w:uiPriority w:val="0"/>
    <w:pPr>
      <w:ind w:left="900" w:firstLine="0" w:firstLineChars="0"/>
      <w:jc w:val="center"/>
    </w:pPr>
    <w:rPr>
      <w:rFonts w:ascii="Times New Roman" w:hAnsi="Times New Roman" w:eastAsia="宋体" w:cs="Times New Roman"/>
      <w:b/>
      <w:szCs w:val="28"/>
    </w:rPr>
  </w:style>
  <w:style w:type="character" w:customStyle="1" w:styleId="50">
    <w:name w:val="批注框文本 Char"/>
    <w:basedOn w:val="31"/>
    <w:link w:val="19"/>
    <w:semiHidden/>
    <w:qFormat/>
    <w:uiPriority w:val="99"/>
    <w:rPr>
      <w:rFonts w:eastAsia="仿宋"/>
      <w:sz w:val="18"/>
      <w:szCs w:val="18"/>
    </w:rPr>
  </w:style>
  <w:style w:type="character" w:customStyle="1" w:styleId="51">
    <w:name w:val="页眉 字符"/>
    <w:qFormat/>
    <w:uiPriority w:val="0"/>
    <w:rPr>
      <w:kern w:val="2"/>
      <w:sz w:val="18"/>
      <w:szCs w:val="18"/>
    </w:rPr>
  </w:style>
  <w:style w:type="paragraph" w:customStyle="1" w:styleId="52">
    <w:name w:val="正文1"/>
    <w:basedOn w:val="1"/>
    <w:qFormat/>
    <w:uiPriority w:val="0"/>
    <w:pPr>
      <w:ind w:firstLine="643"/>
    </w:pPr>
    <w:rPr>
      <w:szCs w:val="32"/>
    </w:rPr>
  </w:style>
  <w:style w:type="character" w:customStyle="1" w:styleId="53">
    <w:name w:val="bjh-strong"/>
    <w:basedOn w:val="31"/>
    <w:qFormat/>
    <w:uiPriority w:val="0"/>
  </w:style>
  <w:style w:type="character" w:customStyle="1" w:styleId="54">
    <w:name w:val="正文文本缩进 2 Char"/>
    <w:basedOn w:val="31"/>
    <w:link w:val="18"/>
    <w:qFormat/>
    <w:uiPriority w:val="99"/>
    <w:rPr>
      <w:rFonts w:eastAsia="仿宋"/>
      <w:sz w:val="28"/>
    </w:rPr>
  </w:style>
  <w:style w:type="character" w:customStyle="1" w:styleId="55">
    <w:name w:val="bjh-p"/>
    <w:basedOn w:val="31"/>
    <w:qFormat/>
    <w:uiPriority w:val="0"/>
  </w:style>
  <w:style w:type="character" w:customStyle="1" w:styleId="56">
    <w:name w:val="HTML 预设格式 Char"/>
    <w:basedOn w:val="31"/>
    <w:link w:val="26"/>
    <w:semiHidden/>
    <w:qFormat/>
    <w:uiPriority w:val="99"/>
    <w:rPr>
      <w:rFonts w:ascii="宋体" w:hAnsi="宋体" w:cs="宋体"/>
      <w:sz w:val="24"/>
      <w:szCs w:val="24"/>
    </w:rPr>
  </w:style>
  <w:style w:type="paragraph" w:customStyle="1" w:styleId="57">
    <w:name w:val="正文2"/>
    <w:qFormat/>
    <w:uiPriority w:val="0"/>
    <w:pPr>
      <w:jc w:val="both"/>
    </w:pPr>
    <w:rPr>
      <w:rFonts w:ascii="Times New Roman" w:hAnsi="Times New Roman" w:eastAsia="宋体" w:cs="Times New Roman"/>
      <w:kern w:val="2"/>
      <w:sz w:val="21"/>
      <w:szCs w:val="21"/>
      <w:lang w:val="en-US" w:eastAsia="zh-CN" w:bidi="ar-SA"/>
    </w:rPr>
  </w:style>
  <w:style w:type="table" w:customStyle="1" w:styleId="58">
    <w:name w:val="网格型1"/>
    <w:basedOn w:val="28"/>
    <w:unhideWhenUsed/>
    <w:qFormat/>
    <w:uiPriority w:val="99"/>
    <w:pPr>
      <w:widowControl w:val="0"/>
      <w:jc w:val="both"/>
    </w:pPr>
    <w:rPr>
      <w:rFonts w:ascii="Calibri" w:hAnsi="Calibri"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59">
    <w:name w:val="样式 宋体 小四 Char"/>
    <w:basedOn w:val="31"/>
    <w:link w:val="60"/>
    <w:qFormat/>
    <w:uiPriority w:val="0"/>
    <w:rPr>
      <w:rFonts w:ascii="宋体" w:hAnsi="宋体"/>
      <w:kern w:val="2"/>
      <w:sz w:val="24"/>
      <w:szCs w:val="24"/>
    </w:rPr>
  </w:style>
  <w:style w:type="paragraph" w:customStyle="1" w:styleId="60">
    <w:name w:val="样式 宋体 小四"/>
    <w:basedOn w:val="1"/>
    <w:link w:val="59"/>
    <w:qFormat/>
    <w:uiPriority w:val="0"/>
    <w:pPr>
      <w:spacing w:line="360" w:lineRule="auto"/>
      <w:ind w:firstLine="200"/>
    </w:pPr>
    <w:rPr>
      <w:rFonts w:ascii="宋体" w:hAnsi="宋体" w:eastAsia="宋体" w:cs="Times New Roman"/>
      <w:sz w:val="24"/>
      <w:szCs w:val="24"/>
    </w:rPr>
  </w:style>
  <w:style w:type="paragraph" w:customStyle="1" w:styleId="61">
    <w:name w:val="列出段落1"/>
    <w:basedOn w:val="1"/>
    <w:qFormat/>
    <w:uiPriority w:val="0"/>
    <w:pPr>
      <w:adjustRightInd w:val="0"/>
      <w:snapToGrid w:val="0"/>
      <w:spacing w:line="360" w:lineRule="auto"/>
    </w:pPr>
    <w:rPr>
      <w:rFonts w:ascii="仿宋" w:hAnsi="仿宋" w:cs="Times New Roman"/>
      <w:sz w:val="24"/>
      <w:szCs w:val="24"/>
    </w:rPr>
  </w:style>
  <w:style w:type="character" w:customStyle="1" w:styleId="62">
    <w:name w:val="NormalCharacter"/>
    <w:semiHidden/>
    <w:qFormat/>
    <w:uiPriority w:val="0"/>
  </w:style>
  <w:style w:type="paragraph" w:customStyle="1" w:styleId="63">
    <w:name w:val="UserStyle_39"/>
    <w:qFormat/>
    <w:uiPriority w:val="0"/>
    <w:pPr>
      <w:jc w:val="both"/>
      <w:textAlignment w:val="baseline"/>
    </w:pPr>
    <w:rPr>
      <w:rFonts w:ascii="Times New Roman" w:hAnsi="Times New Roman" w:eastAsia="宋体" w:cs="Times New Roman"/>
      <w:kern w:val="2"/>
      <w:sz w:val="21"/>
      <w:szCs w:val="21"/>
      <w:lang w:val="en-US" w:eastAsia="zh-CN" w:bidi="ar-SA"/>
    </w:rPr>
  </w:style>
  <w:style w:type="paragraph" w:customStyle="1" w:styleId="64">
    <w:name w:val="A正文"/>
    <w:basedOn w:val="1"/>
    <w:qFormat/>
    <w:uiPriority w:val="0"/>
    <w:pPr>
      <w:adjustRightInd w:val="0"/>
      <w:snapToGrid w:val="0"/>
      <w:spacing w:line="300" w:lineRule="auto"/>
      <w:ind w:firstLine="560"/>
    </w:pPr>
    <w:rPr>
      <w:rFonts w:ascii="Times New Roman" w:hAnsi="Times New Roman" w:cs="Times New Roman"/>
      <w:sz w:val="28"/>
      <w:szCs w:val="2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2054"/>
    <customShpInfo spid="_x0000_s2055"/>
    <customShpInfo spid="_x0000_s1032"/>
    <customShpInfo spid="_x0000_s1033"/>
    <customShpInfo spid="_x0000_s103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HP</Company>
  <Pages>87</Pages>
  <Words>7008</Words>
  <Characters>39948</Characters>
  <Lines>332</Lines>
  <Paragraphs>93</Paragraphs>
  <TotalTime>18</TotalTime>
  <ScaleCrop>false</ScaleCrop>
  <LinksUpToDate>false</LinksUpToDate>
  <CharactersWithSpaces>46863</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2021-07-19T21:18:00Z</dcterms:created>
  <dc:creator>Windows 用户</dc:creator>
  <cp:lastModifiedBy>user</cp:lastModifiedBy>
  <cp:lastPrinted>2021-07-21T21:58:00Z</cp:lastPrinted>
  <dcterms:modified xsi:type="dcterms:W3CDTF">2023-02-20T16:00:48Z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F30574F4DCDB4BA6A06A0B241AC1D371</vt:lpwstr>
  </property>
</Properties>
</file>