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before="100" w:beforeAutospacing="1" w:after="100" w:afterAutospacing="1" w:line="560" w:lineRule="exact"/>
        <w:rPr>
          <w:rFonts w:ascii="仿宋_GB2312" w:hAnsi="宋体" w:eastAsia="仿宋_GB2312" w:cs="宋体"/>
          <w:bCs/>
          <w:color w:val="222222"/>
          <w:kern w:val="36"/>
          <w:sz w:val="32"/>
          <w:szCs w:val="32"/>
        </w:rPr>
      </w:pPr>
    </w:p>
    <w:p>
      <w:pPr>
        <w:widowControl/>
        <w:adjustRightInd w:val="0"/>
        <w:spacing w:before="100" w:beforeAutospacing="1" w:after="100" w:afterAutospacing="1" w:line="560" w:lineRule="exact"/>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附件：1</w:t>
      </w:r>
    </w:p>
    <w:p>
      <w:pPr>
        <w:widowControl/>
        <w:adjustRightInd w:val="0"/>
        <w:spacing w:before="100" w:beforeAutospacing="1" w:after="100" w:afterAutospacing="1" w:line="560" w:lineRule="exact"/>
        <w:jc w:val="center"/>
        <w:rPr>
          <w:rFonts w:ascii="宋体" w:hAnsi="宋体" w:eastAsia="宋体" w:cs="宋体"/>
          <w:color w:val="222222"/>
          <w:kern w:val="0"/>
          <w:sz w:val="24"/>
          <w:szCs w:val="24"/>
        </w:rPr>
      </w:pPr>
      <w:bookmarkStart w:id="0" w:name="_GoBack"/>
      <w:r>
        <w:rPr>
          <w:rFonts w:hint="eastAsia" w:ascii="宋体" w:hAnsi="宋体" w:eastAsia="宋体" w:cs="宋体"/>
          <w:b/>
          <w:bCs/>
          <w:color w:val="222222"/>
          <w:kern w:val="36"/>
          <w:sz w:val="44"/>
          <w:szCs w:val="44"/>
        </w:rPr>
        <w:t>调兵山市财政金融审计服务中心决算公开情况细则</w:t>
      </w:r>
    </w:p>
    <w:p>
      <w:pPr>
        <w:widowControl/>
        <w:adjustRightInd w:val="0"/>
        <w:spacing w:before="100" w:beforeAutospacing="1" w:after="100" w:afterAutospacing="1" w:line="560" w:lineRule="exact"/>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黑体" w:hAnsi="黑体" w:eastAsia="黑体" w:cs="宋体"/>
          <w:bCs/>
          <w:color w:val="000000" w:themeColor="text1"/>
          <w:kern w:val="36"/>
          <w:sz w:val="32"/>
          <w:szCs w:val="32"/>
          <w:highlight w:val="none"/>
          <w14:textFill>
            <w14:solidFill>
              <w14:schemeClr w14:val="tx1"/>
            </w14:solidFill>
          </w14:textFill>
        </w:rPr>
        <w:t>目</w:t>
      </w:r>
      <w:r>
        <w:rPr>
          <w:rFonts w:hint="eastAsia" w:ascii="宋体" w:hAnsi="宋体" w:eastAsia="宋体" w:cs="宋体"/>
          <w:bCs/>
          <w:color w:val="000000" w:themeColor="text1"/>
          <w:kern w:val="36"/>
          <w:sz w:val="32"/>
          <w:szCs w:val="32"/>
          <w:highlight w:val="none"/>
          <w14:textFill>
            <w14:solidFill>
              <w14:schemeClr w14:val="tx1"/>
            </w14:solidFill>
          </w14:textFill>
        </w:rPr>
        <w:t>   </w:t>
      </w:r>
      <w:r>
        <w:rPr>
          <w:rFonts w:hint="eastAsia" w:ascii="黑体" w:hAnsi="黑体" w:eastAsia="黑体" w:cs="黑体"/>
          <w:bCs/>
          <w:color w:val="000000" w:themeColor="text1"/>
          <w:kern w:val="36"/>
          <w:sz w:val="32"/>
          <w:szCs w:val="32"/>
          <w:highlight w:val="none"/>
          <w14:textFill>
            <w14:solidFill>
              <w14:schemeClr w14:val="tx1"/>
            </w14:solidFill>
          </w14:textFill>
        </w:rPr>
        <w:t xml:space="preserve"> </w:t>
      </w:r>
      <w:r>
        <w:rPr>
          <w:rFonts w:hint="eastAsia" w:ascii="黑体" w:hAnsi="黑体" w:eastAsia="黑体" w:cs="宋体"/>
          <w:bCs/>
          <w:color w:val="000000" w:themeColor="text1"/>
          <w:kern w:val="36"/>
          <w:sz w:val="32"/>
          <w:szCs w:val="32"/>
          <w:highlight w:val="none"/>
          <w14:textFill>
            <w14:solidFill>
              <w14:schemeClr w14:val="tx1"/>
            </w14:solidFill>
          </w14:textFill>
        </w:rPr>
        <w:t>录</w:t>
      </w:r>
    </w:p>
    <w:p>
      <w:pPr>
        <w:widowControl/>
        <w:adjustRightInd w:val="0"/>
        <w:spacing w:before="100" w:beforeAutospacing="1" w:after="100" w:afterAutospacing="1" w:line="560" w:lineRule="exact"/>
        <w:rPr>
          <w:rFonts w:ascii="宋体" w:hAnsi="宋体" w:eastAsia="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bCs/>
          <w:color w:val="000000" w:themeColor="text1"/>
          <w:kern w:val="36"/>
          <w:sz w:val="32"/>
          <w:szCs w:val="32"/>
          <w:highlight w:val="none"/>
          <w14:textFill>
            <w14:solidFill>
              <w14:schemeClr w14:val="tx1"/>
            </w14:solidFill>
          </w14:textFill>
        </w:rPr>
        <w:t>　　</w:t>
      </w:r>
      <w:r>
        <w:rPr>
          <w:rFonts w:hint="eastAsia" w:ascii="黑体" w:hAnsi="黑体" w:eastAsia="黑体" w:cs="宋体"/>
          <w:bCs/>
          <w:color w:val="000000" w:themeColor="text1"/>
          <w:kern w:val="36"/>
          <w:sz w:val="32"/>
          <w:szCs w:val="32"/>
          <w:highlight w:val="none"/>
          <w14:textFill>
            <w14:solidFill>
              <w14:schemeClr w14:val="tx1"/>
            </w14:solidFill>
          </w14:textFill>
        </w:rPr>
        <w:t>第一部分</w:t>
      </w:r>
      <w:r>
        <w:rPr>
          <w:rFonts w:hint="eastAsia" w:ascii="宋体" w:hAnsi="宋体" w:eastAsia="宋体" w:cs="宋体"/>
          <w:bCs/>
          <w:color w:val="000000" w:themeColor="text1"/>
          <w:kern w:val="36"/>
          <w:sz w:val="32"/>
          <w:szCs w:val="32"/>
          <w:highlight w:val="none"/>
          <w14:textFill>
            <w14:solidFill>
              <w14:schemeClr w14:val="tx1"/>
            </w14:solidFill>
          </w14:textFill>
        </w:rPr>
        <w:t> </w:t>
      </w:r>
      <w:r>
        <w:rPr>
          <w:rFonts w:hint="eastAsia" w:ascii="黑体" w:hAnsi="黑体" w:eastAsia="黑体" w:cs="黑体"/>
          <w:bCs/>
          <w:color w:val="000000" w:themeColor="text1"/>
          <w:kern w:val="36"/>
          <w:sz w:val="32"/>
          <w:szCs w:val="32"/>
          <w:highlight w:val="none"/>
          <w14:textFill>
            <w14:solidFill>
              <w14:schemeClr w14:val="tx1"/>
            </w14:solidFill>
          </w14:textFill>
        </w:rPr>
        <w:t xml:space="preserve"> </w:t>
      </w:r>
      <w:r>
        <w:rPr>
          <w:rFonts w:hint="eastAsia" w:ascii="黑体" w:hAnsi="黑体" w:eastAsia="黑体" w:cs="宋体"/>
          <w:bCs/>
          <w:color w:val="000000" w:themeColor="text1"/>
          <w:kern w:val="36"/>
          <w:sz w:val="32"/>
          <w:szCs w:val="32"/>
          <w:highlight w:val="none"/>
          <w14:textFill>
            <w14:solidFill>
              <w14:schemeClr w14:val="tx1"/>
            </w14:solidFill>
          </w14:textFill>
        </w:rPr>
        <w:t>调兵山市财政金融审计服务中心概况</w:t>
      </w:r>
    </w:p>
    <w:p>
      <w:pPr>
        <w:widowControl/>
        <w:adjustRightInd w:val="0"/>
        <w:spacing w:before="100" w:beforeAutospacing="1" w:after="100" w:afterAutospacing="1" w:line="560" w:lineRule="exact"/>
        <w:rPr>
          <w:rFonts w:ascii="宋体" w:hAnsi="宋体" w:eastAsia="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bCs/>
          <w:color w:val="000000" w:themeColor="text1"/>
          <w:kern w:val="36"/>
          <w:sz w:val="32"/>
          <w:szCs w:val="32"/>
          <w:highlight w:val="none"/>
          <w14:textFill>
            <w14:solidFill>
              <w14:schemeClr w14:val="tx1"/>
            </w14:solidFill>
          </w14:textFill>
        </w:rPr>
        <w:t>　　一、主要职责</w:t>
      </w:r>
    </w:p>
    <w:p>
      <w:pPr>
        <w:widowControl/>
        <w:adjustRightInd w:val="0"/>
        <w:spacing w:before="100" w:beforeAutospacing="1" w:after="100" w:afterAutospacing="1" w:line="560" w:lineRule="exact"/>
        <w:rPr>
          <w:rFonts w:ascii="宋体" w:hAnsi="宋体" w:eastAsia="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bCs/>
          <w:color w:val="000000" w:themeColor="text1"/>
          <w:kern w:val="36"/>
          <w:sz w:val="32"/>
          <w:szCs w:val="32"/>
          <w:highlight w:val="none"/>
          <w14:textFill>
            <w14:solidFill>
              <w14:schemeClr w14:val="tx1"/>
            </w14:solidFill>
          </w14:textFill>
        </w:rPr>
        <w:t>　　二、部门决算单位构成</w:t>
      </w:r>
    </w:p>
    <w:p>
      <w:pPr>
        <w:widowControl/>
        <w:adjustRightInd w:val="0"/>
        <w:spacing w:before="100" w:beforeAutospacing="1" w:after="100" w:afterAutospacing="1" w:line="560" w:lineRule="exact"/>
        <w:ind w:firstLine="645"/>
        <w:rPr>
          <w:rFonts w:ascii="宋体" w:hAnsi="宋体" w:eastAsia="宋体" w:cs="宋体"/>
          <w:color w:val="000000" w:themeColor="text1"/>
          <w:kern w:val="0"/>
          <w:sz w:val="24"/>
          <w:szCs w:val="24"/>
          <w:highlight w:val="none"/>
          <w14:textFill>
            <w14:solidFill>
              <w14:schemeClr w14:val="tx1"/>
            </w14:solidFill>
          </w14:textFill>
        </w:rPr>
      </w:pPr>
      <w:r>
        <w:rPr>
          <w:rFonts w:hint="eastAsia" w:ascii="黑体" w:hAnsi="黑体" w:eastAsia="黑体" w:cs="宋体"/>
          <w:bCs/>
          <w:color w:val="000000" w:themeColor="text1"/>
          <w:kern w:val="36"/>
          <w:sz w:val="32"/>
          <w:szCs w:val="32"/>
          <w:highlight w:val="none"/>
          <w14:textFill>
            <w14:solidFill>
              <w14:schemeClr w14:val="tx1"/>
            </w14:solidFill>
          </w14:textFill>
        </w:rPr>
        <w:t>第二部分</w:t>
      </w:r>
      <w:r>
        <w:rPr>
          <w:rFonts w:hint="eastAsia" w:ascii="宋体" w:hAnsi="宋体" w:eastAsia="宋体" w:cs="宋体"/>
          <w:bCs/>
          <w:color w:val="000000" w:themeColor="text1"/>
          <w:kern w:val="36"/>
          <w:sz w:val="32"/>
          <w:szCs w:val="32"/>
          <w:highlight w:val="none"/>
          <w14:textFill>
            <w14:solidFill>
              <w14:schemeClr w14:val="tx1"/>
            </w14:solidFill>
          </w14:textFill>
        </w:rPr>
        <w:t> </w:t>
      </w:r>
      <w:r>
        <w:rPr>
          <w:rFonts w:hint="eastAsia" w:ascii="黑体" w:hAnsi="黑体" w:eastAsia="黑体" w:cs="黑体"/>
          <w:bCs/>
          <w:color w:val="000000" w:themeColor="text1"/>
          <w:kern w:val="36"/>
          <w:sz w:val="32"/>
          <w:szCs w:val="32"/>
          <w:highlight w:val="none"/>
          <w14:textFill>
            <w14:solidFill>
              <w14:schemeClr w14:val="tx1"/>
            </w14:solidFill>
          </w14:textFill>
        </w:rPr>
        <w:t xml:space="preserve"> </w:t>
      </w:r>
      <w:r>
        <w:rPr>
          <w:rFonts w:hint="eastAsia" w:ascii="黑体" w:hAnsi="黑体" w:eastAsia="黑体" w:cs="宋体"/>
          <w:bCs/>
          <w:color w:val="000000" w:themeColor="text1"/>
          <w:kern w:val="36"/>
          <w:sz w:val="32"/>
          <w:szCs w:val="32"/>
          <w:highlight w:val="none"/>
          <w14:textFill>
            <w14:solidFill>
              <w14:schemeClr w14:val="tx1"/>
            </w14:solidFill>
          </w14:textFill>
        </w:rPr>
        <w:t>调兵山市财政金融审计服务中心2021年部门决算表</w:t>
      </w:r>
    </w:p>
    <w:p>
      <w:pPr>
        <w:widowControl/>
        <w:adjustRightInd w:val="0"/>
        <w:spacing w:before="100" w:beforeAutospacing="1" w:after="100" w:afterAutospacing="1" w:line="560" w:lineRule="exact"/>
        <w:ind w:firstLine="645"/>
        <w:rPr>
          <w:rFonts w:ascii="宋体" w:hAnsi="宋体" w:eastAsia="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bCs/>
          <w:color w:val="000000" w:themeColor="text1"/>
          <w:kern w:val="36"/>
          <w:sz w:val="32"/>
          <w:szCs w:val="32"/>
          <w:highlight w:val="none"/>
          <w14:textFill>
            <w14:solidFill>
              <w14:schemeClr w14:val="tx1"/>
            </w14:solidFill>
          </w14:textFill>
        </w:rPr>
        <w:t>一、2021年度收入支出决算总表</w:t>
      </w:r>
    </w:p>
    <w:p>
      <w:pPr>
        <w:widowControl/>
        <w:adjustRightInd w:val="0"/>
        <w:spacing w:before="100" w:beforeAutospacing="1" w:after="100" w:afterAutospacing="1" w:line="560" w:lineRule="exact"/>
        <w:ind w:firstLine="645"/>
        <w:rPr>
          <w:rFonts w:ascii="宋体" w:hAnsi="宋体" w:eastAsia="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bCs/>
          <w:color w:val="000000" w:themeColor="text1"/>
          <w:kern w:val="36"/>
          <w:sz w:val="32"/>
          <w:szCs w:val="32"/>
          <w:highlight w:val="none"/>
          <w14:textFill>
            <w14:solidFill>
              <w14:schemeClr w14:val="tx1"/>
            </w14:solidFill>
          </w14:textFill>
        </w:rPr>
        <w:t>二、2021年度收入决算表</w:t>
      </w:r>
    </w:p>
    <w:p>
      <w:pPr>
        <w:widowControl/>
        <w:adjustRightInd w:val="0"/>
        <w:spacing w:before="100" w:beforeAutospacing="1" w:after="100" w:afterAutospacing="1" w:line="560" w:lineRule="exact"/>
        <w:ind w:firstLine="640" w:firstLineChars="200"/>
        <w:rPr>
          <w:rFonts w:ascii="宋体" w:hAnsi="宋体" w:eastAsia="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bCs/>
          <w:color w:val="000000" w:themeColor="text1"/>
          <w:kern w:val="36"/>
          <w:sz w:val="32"/>
          <w:szCs w:val="32"/>
          <w:highlight w:val="none"/>
          <w14:textFill>
            <w14:solidFill>
              <w14:schemeClr w14:val="tx1"/>
            </w14:solidFill>
          </w14:textFill>
        </w:rPr>
        <w:t>三、2021年度支出决算表</w:t>
      </w:r>
    </w:p>
    <w:p>
      <w:pPr>
        <w:widowControl/>
        <w:adjustRightInd w:val="0"/>
        <w:spacing w:before="100" w:beforeAutospacing="1" w:after="100" w:afterAutospacing="1" w:line="560" w:lineRule="exact"/>
        <w:ind w:firstLine="640" w:firstLineChars="200"/>
        <w:rPr>
          <w:rFonts w:ascii="宋体" w:hAnsi="宋体" w:eastAsia="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bCs/>
          <w:color w:val="000000" w:themeColor="text1"/>
          <w:kern w:val="36"/>
          <w:sz w:val="32"/>
          <w:szCs w:val="32"/>
          <w:highlight w:val="none"/>
          <w14:textFill>
            <w14:solidFill>
              <w14:schemeClr w14:val="tx1"/>
            </w14:solidFill>
          </w14:textFill>
        </w:rPr>
        <w:t>四、2021年度财政拨款收入支出决算表</w:t>
      </w:r>
    </w:p>
    <w:p>
      <w:pPr>
        <w:widowControl/>
        <w:adjustRightInd w:val="0"/>
        <w:spacing w:before="100" w:beforeAutospacing="1" w:after="100" w:afterAutospacing="1" w:line="560" w:lineRule="exact"/>
        <w:ind w:firstLine="640" w:firstLineChars="200"/>
        <w:rPr>
          <w:rFonts w:ascii="宋体" w:hAnsi="宋体" w:eastAsia="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bCs/>
          <w:color w:val="000000" w:themeColor="text1"/>
          <w:kern w:val="36"/>
          <w:sz w:val="32"/>
          <w:szCs w:val="32"/>
          <w:highlight w:val="none"/>
          <w14:textFill>
            <w14:solidFill>
              <w14:schemeClr w14:val="tx1"/>
            </w14:solidFill>
          </w14:textFill>
        </w:rPr>
        <w:t>五、2021年度一般公共预算财政拨款收入支出决算表</w:t>
      </w:r>
    </w:p>
    <w:p>
      <w:pPr>
        <w:widowControl/>
        <w:adjustRightInd w:val="0"/>
        <w:spacing w:before="100" w:beforeAutospacing="1" w:after="100" w:afterAutospacing="1" w:line="560" w:lineRule="exact"/>
        <w:ind w:firstLine="640" w:firstLineChars="200"/>
        <w:rPr>
          <w:rFonts w:ascii="宋体" w:hAnsi="宋体" w:eastAsia="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bCs/>
          <w:color w:val="000000" w:themeColor="text1"/>
          <w:kern w:val="36"/>
          <w:sz w:val="32"/>
          <w:szCs w:val="32"/>
          <w:highlight w:val="none"/>
          <w14:textFill>
            <w14:solidFill>
              <w14:schemeClr w14:val="tx1"/>
            </w14:solidFill>
          </w14:textFill>
        </w:rPr>
        <w:t>六、2021年度一般公共预算财政拨款基本支出决算表</w:t>
      </w:r>
    </w:p>
    <w:p>
      <w:pPr>
        <w:widowControl/>
        <w:adjustRightInd w:val="0"/>
        <w:spacing w:before="100" w:beforeAutospacing="1" w:after="100" w:afterAutospacing="1" w:line="560" w:lineRule="exact"/>
        <w:ind w:firstLine="640" w:firstLineChars="200"/>
        <w:rPr>
          <w:rFonts w:ascii="宋体" w:hAnsi="宋体" w:eastAsia="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bCs/>
          <w:color w:val="000000" w:themeColor="text1"/>
          <w:kern w:val="36"/>
          <w:sz w:val="32"/>
          <w:szCs w:val="32"/>
          <w:highlight w:val="none"/>
          <w14:textFill>
            <w14:solidFill>
              <w14:schemeClr w14:val="tx1"/>
            </w14:solidFill>
          </w14:textFill>
        </w:rPr>
        <w:t>七、2021年度政府性基金财政拨款收入支出决算表</w:t>
      </w:r>
    </w:p>
    <w:p>
      <w:pPr>
        <w:widowControl/>
        <w:adjustRightInd w:val="0"/>
        <w:spacing w:before="100" w:beforeAutospacing="1" w:after="100" w:afterAutospacing="1" w:line="560" w:lineRule="exact"/>
        <w:ind w:firstLine="640" w:firstLineChars="200"/>
        <w:rPr>
          <w:rFonts w:ascii="宋体" w:hAnsi="宋体" w:eastAsia="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bCs/>
          <w:color w:val="000000" w:themeColor="text1"/>
          <w:kern w:val="36"/>
          <w:sz w:val="32"/>
          <w:szCs w:val="32"/>
          <w:highlight w:val="none"/>
          <w14:textFill>
            <w14:solidFill>
              <w14:schemeClr w14:val="tx1"/>
            </w14:solidFill>
          </w14:textFill>
        </w:rPr>
        <w:t>八、2021年度“三公”经费支出情况表</w:t>
      </w:r>
    </w:p>
    <w:p>
      <w:pPr>
        <w:widowControl/>
        <w:adjustRightInd w:val="0"/>
        <w:spacing w:before="100" w:beforeAutospacing="1" w:after="100" w:afterAutospacing="1" w:line="560" w:lineRule="exact"/>
        <w:rPr>
          <w:rFonts w:ascii="宋体" w:hAnsi="宋体" w:eastAsia="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bCs/>
          <w:color w:val="000000" w:themeColor="text1"/>
          <w:kern w:val="36"/>
          <w:sz w:val="32"/>
          <w:szCs w:val="32"/>
          <w:highlight w:val="none"/>
          <w14:textFill>
            <w14:solidFill>
              <w14:schemeClr w14:val="tx1"/>
            </w14:solidFill>
          </w14:textFill>
        </w:rPr>
        <w:t>　　</w:t>
      </w:r>
      <w:r>
        <w:rPr>
          <w:rFonts w:hint="eastAsia" w:ascii="黑体" w:hAnsi="黑体" w:eastAsia="黑体" w:cs="宋体"/>
          <w:bCs/>
          <w:color w:val="000000" w:themeColor="text1"/>
          <w:kern w:val="36"/>
          <w:sz w:val="32"/>
          <w:szCs w:val="32"/>
          <w:highlight w:val="none"/>
          <w14:textFill>
            <w14:solidFill>
              <w14:schemeClr w14:val="tx1"/>
            </w14:solidFill>
          </w14:textFill>
        </w:rPr>
        <w:t>第三部分</w:t>
      </w:r>
      <w:r>
        <w:rPr>
          <w:rFonts w:hint="eastAsia" w:ascii="宋体" w:hAnsi="宋体" w:eastAsia="宋体" w:cs="宋体"/>
          <w:bCs/>
          <w:color w:val="000000" w:themeColor="text1"/>
          <w:kern w:val="36"/>
          <w:sz w:val="32"/>
          <w:szCs w:val="32"/>
          <w:highlight w:val="none"/>
          <w14:textFill>
            <w14:solidFill>
              <w14:schemeClr w14:val="tx1"/>
            </w14:solidFill>
          </w14:textFill>
        </w:rPr>
        <w:t> </w:t>
      </w:r>
      <w:r>
        <w:rPr>
          <w:rFonts w:hint="eastAsia" w:ascii="黑体" w:hAnsi="黑体" w:eastAsia="黑体" w:cs="黑体"/>
          <w:bCs/>
          <w:color w:val="000000" w:themeColor="text1"/>
          <w:kern w:val="36"/>
          <w:sz w:val="32"/>
          <w:szCs w:val="32"/>
          <w:highlight w:val="none"/>
          <w14:textFill>
            <w14:solidFill>
              <w14:schemeClr w14:val="tx1"/>
            </w14:solidFill>
          </w14:textFill>
        </w:rPr>
        <w:t xml:space="preserve"> </w:t>
      </w:r>
      <w:r>
        <w:rPr>
          <w:rFonts w:hint="eastAsia" w:ascii="黑体" w:hAnsi="黑体" w:eastAsia="黑体" w:cs="宋体"/>
          <w:bCs/>
          <w:color w:val="000000" w:themeColor="text1"/>
          <w:kern w:val="36"/>
          <w:sz w:val="32"/>
          <w:szCs w:val="32"/>
          <w:highlight w:val="none"/>
          <w14:textFill>
            <w14:solidFill>
              <w14:schemeClr w14:val="tx1"/>
            </w14:solidFill>
          </w14:textFill>
        </w:rPr>
        <w:t>调兵山市财政金融审计服务中心2021年部门决算情况说明</w:t>
      </w:r>
    </w:p>
    <w:p>
      <w:pPr>
        <w:widowControl/>
        <w:adjustRightInd w:val="0"/>
        <w:spacing w:before="100" w:beforeAutospacing="1" w:after="100" w:afterAutospacing="1" w:line="560" w:lineRule="exact"/>
        <w:ind w:firstLine="645"/>
        <w:rPr>
          <w:rFonts w:ascii="宋体" w:hAnsi="宋体" w:eastAsia="宋体" w:cs="宋体"/>
          <w:color w:val="000000" w:themeColor="text1"/>
          <w:kern w:val="0"/>
          <w:sz w:val="24"/>
          <w:szCs w:val="24"/>
          <w:highlight w:val="none"/>
          <w14:textFill>
            <w14:solidFill>
              <w14:schemeClr w14:val="tx1"/>
            </w14:solidFill>
          </w14:textFill>
        </w:rPr>
      </w:pPr>
      <w:r>
        <w:rPr>
          <w:rFonts w:hint="eastAsia" w:ascii="黑体" w:hAnsi="黑体" w:eastAsia="黑体" w:cs="宋体"/>
          <w:bCs/>
          <w:color w:val="000000" w:themeColor="text1"/>
          <w:kern w:val="36"/>
          <w:sz w:val="32"/>
          <w:szCs w:val="32"/>
          <w:highlight w:val="none"/>
          <w14:textFill>
            <w14:solidFill>
              <w14:schemeClr w14:val="tx1"/>
            </w14:solidFill>
          </w14:textFill>
        </w:rPr>
        <w:t>第四部分</w:t>
      </w:r>
      <w:r>
        <w:rPr>
          <w:rFonts w:hint="eastAsia" w:ascii="宋体" w:hAnsi="宋体" w:eastAsia="宋体" w:cs="宋体"/>
          <w:bCs/>
          <w:color w:val="000000" w:themeColor="text1"/>
          <w:kern w:val="36"/>
          <w:sz w:val="32"/>
          <w:szCs w:val="32"/>
          <w:highlight w:val="none"/>
          <w14:textFill>
            <w14:solidFill>
              <w14:schemeClr w14:val="tx1"/>
            </w14:solidFill>
          </w14:textFill>
        </w:rPr>
        <w:t> </w:t>
      </w:r>
      <w:r>
        <w:rPr>
          <w:rFonts w:hint="eastAsia" w:ascii="黑体" w:hAnsi="黑体" w:eastAsia="黑体" w:cs="黑体"/>
          <w:bCs/>
          <w:color w:val="000000" w:themeColor="text1"/>
          <w:kern w:val="36"/>
          <w:sz w:val="32"/>
          <w:szCs w:val="32"/>
          <w:highlight w:val="none"/>
          <w14:textFill>
            <w14:solidFill>
              <w14:schemeClr w14:val="tx1"/>
            </w14:solidFill>
          </w14:textFill>
        </w:rPr>
        <w:t xml:space="preserve"> </w:t>
      </w:r>
      <w:r>
        <w:rPr>
          <w:rFonts w:hint="eastAsia" w:ascii="黑体" w:hAnsi="黑体" w:eastAsia="黑体" w:cs="宋体"/>
          <w:bCs/>
          <w:color w:val="000000" w:themeColor="text1"/>
          <w:kern w:val="36"/>
          <w:sz w:val="32"/>
          <w:szCs w:val="32"/>
          <w:highlight w:val="none"/>
          <w14:textFill>
            <w14:solidFill>
              <w14:schemeClr w14:val="tx1"/>
            </w14:solidFill>
          </w14:textFill>
        </w:rPr>
        <w:t>名词解释</w:t>
      </w:r>
    </w:p>
    <w:p>
      <w:pPr>
        <w:widowControl/>
        <w:adjustRightInd w:val="0"/>
        <w:spacing w:before="100" w:beforeAutospacing="1" w:after="100" w:afterAutospacing="1" w:line="560" w:lineRule="exact"/>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36"/>
          <w:sz w:val="32"/>
          <w:szCs w:val="32"/>
          <w:highlight w:val="none"/>
          <w14:textFill>
            <w14:solidFill>
              <w14:schemeClr w14:val="tx1"/>
            </w14:solidFill>
          </w14:textFill>
        </w:rPr>
        <w:t>第一部分 调兵山市财政金融审计服务中心概况</w:t>
      </w:r>
    </w:p>
    <w:p>
      <w:pPr>
        <w:widowControl/>
        <w:adjustRightInd w:val="0"/>
        <w:spacing w:before="100" w:beforeAutospacing="1" w:after="100" w:afterAutospacing="1" w:line="560" w:lineRule="exact"/>
        <w:ind w:firstLine="640" w:firstLineChars="200"/>
        <w:rPr>
          <w:rFonts w:ascii="宋体" w:hAnsi="宋体" w:eastAsia="宋体" w:cs="宋体"/>
          <w:color w:val="000000" w:themeColor="text1"/>
          <w:kern w:val="0"/>
          <w:sz w:val="24"/>
          <w:szCs w:val="24"/>
          <w:highlight w:val="none"/>
          <w14:textFill>
            <w14:solidFill>
              <w14:schemeClr w14:val="tx1"/>
            </w14:solidFill>
          </w14:textFill>
        </w:rPr>
      </w:pPr>
      <w:r>
        <w:rPr>
          <w:rFonts w:hint="eastAsia" w:ascii="黑体" w:hAnsi="黑体" w:eastAsia="黑体" w:cs="宋体"/>
          <w:bCs/>
          <w:color w:val="000000" w:themeColor="text1"/>
          <w:kern w:val="36"/>
          <w:sz w:val="32"/>
          <w:szCs w:val="32"/>
          <w:highlight w:val="none"/>
          <w14:textFill>
            <w14:solidFill>
              <w14:schemeClr w14:val="tx1"/>
            </w14:solidFill>
          </w14:textFill>
        </w:rPr>
        <w:t>一、主要职责</w:t>
      </w:r>
    </w:p>
    <w:p>
      <w:pPr>
        <w:widowControl/>
        <w:spacing w:before="100" w:beforeAutospacing="1" w:after="100" w:afterAutospacing="1"/>
        <w:ind w:firstLine="640" w:firstLineChars="200"/>
        <w:jc w:val="center"/>
        <w:rPr>
          <w:rFonts w:ascii="仿宋_GB2312" w:hAnsi="宋体" w:eastAsia="仿宋_GB2312" w:cs="宋体"/>
          <w:color w:val="222222"/>
          <w:kern w:val="0"/>
          <w:sz w:val="32"/>
          <w:szCs w:val="32"/>
        </w:rPr>
      </w:pPr>
      <w:r>
        <w:rPr>
          <w:rFonts w:hint="eastAsia" w:ascii="仿宋_GB2312" w:hAnsi="宋体" w:eastAsia="仿宋_GB2312" w:cs="宋体"/>
          <w:color w:val="000000" w:themeColor="text1"/>
          <w:kern w:val="0"/>
          <w:sz w:val="32"/>
          <w:szCs w:val="32"/>
          <w:highlight w:val="none"/>
          <w14:textFill>
            <w14:solidFill>
              <w14:schemeClr w14:val="tx1"/>
            </w14:solidFill>
          </w14:textFill>
        </w:rPr>
        <w:t>调兵山市财政金融审计服务中心现有在职职工115人，设置了</w:t>
      </w:r>
      <w:r>
        <w:rPr>
          <w:rFonts w:hint="eastAsia" w:ascii="仿宋_GB2312" w:hAnsi="楷体" w:eastAsia="仿宋_GB2312" w:cs="仿宋"/>
          <w:color w:val="000000" w:themeColor="text1"/>
          <w:kern w:val="0"/>
          <w:sz w:val="32"/>
          <w:szCs w:val="32"/>
          <w:highlight w:val="none"/>
          <w14:textFill>
            <w14:solidFill>
              <w14:schemeClr w14:val="tx1"/>
            </w14:solidFill>
          </w14:textFill>
        </w:rPr>
        <w:t>党政群工作办公室</w:t>
      </w:r>
      <w:r>
        <w:rPr>
          <w:rFonts w:hint="eastAsia" w:ascii="仿宋_GB2312" w:hAnsi="Calibri" w:eastAsia="仿宋_GB2312" w:cs="仿宋"/>
          <w:color w:val="000000" w:themeColor="text1"/>
          <w:kern w:val="0"/>
          <w:sz w:val="32"/>
          <w:szCs w:val="32"/>
          <w:highlight w:val="none"/>
          <w14:textFill>
            <w14:solidFill>
              <w14:schemeClr w14:val="tx1"/>
            </w14:solidFill>
          </w14:textFill>
        </w:rPr>
        <w:t>、政府投资预算评审服务办公室、政府投资结算评审服务办公室、财源建设服务办公室、调兵山市财政局社会保障资金管理中心、调兵山市财政资金收付中心、调兵山市财政局镇（街）财政资金收付服务办公室、财政综合服务办公室、政府采购业务服务办公室、政府工程招投标服务办公室</w:t>
      </w:r>
      <w:r>
        <w:rPr>
          <w:rFonts w:hint="eastAsia" w:ascii="仿宋_GB2312" w:hAnsi="宋体" w:eastAsia="仿宋_GB2312" w:cs="宋体"/>
          <w:color w:val="000000" w:themeColor="text1"/>
          <w:kern w:val="0"/>
          <w:sz w:val="32"/>
          <w:szCs w:val="32"/>
          <w:highlight w:val="none"/>
          <w14:textFill>
            <w14:solidFill>
              <w14:schemeClr w14:val="tx1"/>
            </w14:solidFill>
          </w14:textFill>
        </w:rPr>
        <w:t>。主要职责:（一）负责联系金融监管机构、各类金融机构及行业自律组织，推进地方金融机构建设，协调中省市直金融保险机构来调兵山拓展业务，推荐企业境内外上市，培育企业信用，宣传普及金融知识，为政府融资提供金融服务，管理政府性债务等工作。（二）为全市党政群机关、企事业单位的基本建设工程的预、结算审查、招投标的标底审定、概算包干的审定工作提供服务；配合主管部门调查并确定材料价格，测定地区性取费率，测定施工企业的取费级别以及提供工</w:t>
      </w:r>
      <w:r>
        <w:rPr>
          <w:rFonts w:hint="eastAsia" w:ascii="仿宋_GB2312" w:hAnsi="宋体" w:eastAsia="仿宋_GB2312" w:cs="宋体"/>
          <w:color w:val="222222"/>
          <w:kern w:val="0"/>
          <w:sz w:val="32"/>
          <w:szCs w:val="32"/>
        </w:rPr>
        <w:t>程预结算仲裁、咨询和服务。（三）为乡镇财政决算及统计资料的汇编工作提供服务，参与乡镇财政体制管理建设与调整，为社会保障资金派发提供服务。（四）为财政、审计等部门提供综合类服务。（五）承担市委、市政府交办的其他工作。</w:t>
      </w:r>
    </w:p>
    <w:p>
      <w:pPr>
        <w:widowControl/>
        <w:adjustRightInd w:val="0"/>
        <w:spacing w:before="100" w:beforeAutospacing="1" w:after="100" w:afterAutospacing="1" w:line="560" w:lineRule="exact"/>
        <w:ind w:firstLine="645"/>
        <w:rPr>
          <w:rFonts w:ascii="宋体" w:hAnsi="宋体" w:eastAsia="宋体" w:cs="宋体"/>
          <w:color w:val="FFFFFF" w:themeColor="background1"/>
          <w:kern w:val="0"/>
          <w:sz w:val="24"/>
          <w:szCs w:val="24"/>
        </w:rPr>
      </w:pPr>
      <w:r>
        <w:rPr>
          <w:rFonts w:hint="eastAsia" w:ascii="黑体" w:hAnsi="黑体" w:eastAsia="黑体" w:cs="宋体"/>
          <w:bCs/>
          <w:color w:val="222222"/>
          <w:kern w:val="36"/>
          <w:sz w:val="32"/>
          <w:szCs w:val="32"/>
        </w:rPr>
        <w:t>二、部门决算单位构成</w:t>
      </w:r>
    </w:p>
    <w:p>
      <w:pPr>
        <w:widowControl/>
        <w:adjustRightInd w:val="0"/>
        <w:spacing w:before="100" w:beforeAutospacing="1" w:after="100" w:afterAutospacing="1" w:line="560" w:lineRule="exact"/>
        <w:ind w:firstLine="640" w:firstLineChars="2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共有1家预算单位，其中行政单位0家，事业单位1家。</w:t>
      </w:r>
    </w:p>
    <w:p>
      <w:pPr>
        <w:widowControl/>
        <w:adjustRightInd w:val="0"/>
        <w:spacing w:before="100" w:beforeAutospacing="1" w:after="100" w:afterAutospacing="1" w:line="560" w:lineRule="exact"/>
        <w:ind w:firstLine="640" w:firstLineChars="2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纳入调兵山市财政金融审计服务中心2021年部门决算编制范围的一级预算单位包括：</w:t>
      </w:r>
    </w:p>
    <w:p>
      <w:pPr>
        <w:widowControl/>
        <w:adjustRightInd w:val="0"/>
        <w:spacing w:before="100" w:beforeAutospacing="1" w:after="100" w:afterAutospacing="1" w:line="560" w:lineRule="exact"/>
        <w:jc w:val="center"/>
        <w:rPr>
          <w:rFonts w:ascii="宋体" w:hAnsi="宋体" w:eastAsia="宋体" w:cs="宋体"/>
          <w:color w:val="222222"/>
          <w:kern w:val="0"/>
          <w:sz w:val="24"/>
          <w:szCs w:val="24"/>
        </w:rPr>
      </w:pPr>
      <w:r>
        <w:rPr>
          <w:rFonts w:hint="eastAsia" w:ascii="宋体" w:hAnsi="宋体" w:eastAsia="宋体" w:cs="宋体"/>
          <w:b/>
          <w:bCs/>
          <w:color w:val="222222"/>
          <w:kern w:val="36"/>
          <w:sz w:val="32"/>
          <w:szCs w:val="32"/>
        </w:rPr>
        <w:t>第二部分 调兵山市财政事务服务中心部门决算公开表</w:t>
      </w:r>
      <w:r>
        <w:rPr>
          <w:rFonts w:hint="eastAsia" w:ascii="仿宋" w:hAnsi="仿宋" w:eastAsia="仿宋" w:cs="宋体"/>
          <w:bCs/>
          <w:color w:val="222222"/>
          <w:kern w:val="36"/>
          <w:sz w:val="32"/>
          <w:szCs w:val="32"/>
        </w:rPr>
        <w:t>（点击链接）</w:t>
      </w:r>
    </w:p>
    <w:p>
      <w:pPr>
        <w:widowControl/>
        <w:adjustRightInd w:val="0"/>
        <w:spacing w:before="100" w:beforeAutospacing="1" w:after="100" w:afterAutospacing="1" w:line="560" w:lineRule="exact"/>
        <w:ind w:firstLine="640" w:firstLineChars="200"/>
        <w:rPr>
          <w:rFonts w:ascii="宋体" w:hAnsi="宋体" w:eastAsia="宋体" w:cs="宋体"/>
          <w:color w:val="222222"/>
          <w:kern w:val="0"/>
          <w:sz w:val="24"/>
          <w:szCs w:val="24"/>
        </w:rPr>
      </w:pPr>
      <w:r>
        <w:rPr>
          <w:rFonts w:hint="eastAsia" w:ascii="仿宋" w:hAnsi="仿宋" w:eastAsia="仿宋" w:cs="宋体"/>
          <w:bCs/>
          <w:color w:val="222222"/>
          <w:kern w:val="36"/>
          <w:sz w:val="32"/>
          <w:szCs w:val="32"/>
        </w:rPr>
        <w:t>附件：调兵山市财政事务服务中心2021年部门决算表</w:t>
      </w:r>
    </w:p>
    <w:p>
      <w:pPr>
        <w:widowControl/>
        <w:adjustRightInd w:val="0"/>
        <w:spacing w:before="100" w:beforeAutospacing="1" w:after="100" w:afterAutospacing="1" w:line="560" w:lineRule="exact"/>
        <w:ind w:firstLine="1280" w:firstLineChars="4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一、2021年度收入支出决算总表</w:t>
      </w:r>
    </w:p>
    <w:p>
      <w:pPr>
        <w:widowControl/>
        <w:adjustRightInd w:val="0"/>
        <w:spacing w:before="100" w:beforeAutospacing="1" w:after="100" w:afterAutospacing="1" w:line="560" w:lineRule="exact"/>
        <w:ind w:firstLine="1280" w:firstLineChars="4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二、2021年度收入决算表</w:t>
      </w:r>
    </w:p>
    <w:p>
      <w:pPr>
        <w:widowControl/>
        <w:adjustRightInd w:val="0"/>
        <w:spacing w:before="100" w:beforeAutospacing="1" w:after="100" w:afterAutospacing="1" w:line="560" w:lineRule="exact"/>
        <w:ind w:firstLine="1280" w:firstLineChars="4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三、2021年度支出决算表</w:t>
      </w:r>
    </w:p>
    <w:p>
      <w:pPr>
        <w:widowControl/>
        <w:adjustRightInd w:val="0"/>
        <w:spacing w:before="100" w:beforeAutospacing="1" w:after="100" w:afterAutospacing="1" w:line="560" w:lineRule="exact"/>
        <w:ind w:firstLine="1280" w:firstLineChars="4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四、2021年度财政拨款收入支出决算表</w:t>
      </w:r>
    </w:p>
    <w:p>
      <w:pPr>
        <w:widowControl/>
        <w:adjustRightInd w:val="0"/>
        <w:spacing w:before="100" w:beforeAutospacing="1" w:after="100" w:afterAutospacing="1" w:line="560" w:lineRule="exact"/>
        <w:ind w:firstLine="1280" w:firstLineChars="4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五、2021年度一般公共预算财政拨款收入支出决算表</w:t>
      </w:r>
    </w:p>
    <w:p>
      <w:pPr>
        <w:widowControl/>
        <w:adjustRightInd w:val="0"/>
        <w:spacing w:before="100" w:beforeAutospacing="1" w:after="100" w:afterAutospacing="1" w:line="560" w:lineRule="exact"/>
        <w:ind w:firstLine="1280" w:firstLineChars="4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六、2021年度一般公共预算财政拨款基本支出决算表</w:t>
      </w:r>
    </w:p>
    <w:p>
      <w:pPr>
        <w:widowControl/>
        <w:adjustRightInd w:val="0"/>
        <w:spacing w:before="100" w:beforeAutospacing="1" w:after="100" w:afterAutospacing="1" w:line="560" w:lineRule="exact"/>
        <w:ind w:firstLine="1280" w:firstLineChars="4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七、2021年度政府性基金财政拨款收入支出决算表</w:t>
      </w:r>
    </w:p>
    <w:p>
      <w:pPr>
        <w:widowControl/>
        <w:adjustRightInd w:val="0"/>
        <w:spacing w:before="100" w:beforeAutospacing="1" w:after="100" w:afterAutospacing="1" w:line="560" w:lineRule="exact"/>
        <w:ind w:firstLine="1280" w:firstLineChars="4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八、2021年度“三公”经费支出情况表</w:t>
      </w:r>
    </w:p>
    <w:p>
      <w:pPr>
        <w:widowControl/>
        <w:adjustRightInd w:val="0"/>
        <w:spacing w:before="100" w:beforeAutospacing="1" w:after="100" w:afterAutospacing="1" w:line="560" w:lineRule="exact"/>
        <w:ind w:firstLine="643" w:firstLineChars="200"/>
        <w:jc w:val="center"/>
        <w:rPr>
          <w:rFonts w:ascii="宋体" w:hAnsi="宋体" w:eastAsia="宋体" w:cs="宋体"/>
          <w:color w:val="222222"/>
          <w:kern w:val="0"/>
          <w:sz w:val="24"/>
          <w:szCs w:val="24"/>
        </w:rPr>
      </w:pPr>
      <w:r>
        <w:rPr>
          <w:rFonts w:hint="eastAsia" w:ascii="宋体" w:hAnsi="宋体" w:eastAsia="宋体" w:cs="宋体"/>
          <w:b/>
          <w:bCs/>
          <w:color w:val="222222"/>
          <w:kern w:val="36"/>
          <w:sz w:val="32"/>
          <w:szCs w:val="32"/>
        </w:rPr>
        <w:t>第三部分 2021年部门决算情况说明</w:t>
      </w:r>
    </w:p>
    <w:p>
      <w:pPr>
        <w:widowControl/>
        <w:adjustRightInd w:val="0"/>
        <w:spacing w:before="100" w:beforeAutospacing="1" w:after="100" w:afterAutospacing="1" w:line="560" w:lineRule="exact"/>
        <w:ind w:firstLine="640" w:firstLineChars="200"/>
        <w:rPr>
          <w:rFonts w:ascii="宋体" w:hAnsi="宋体" w:eastAsia="宋体" w:cs="宋体"/>
          <w:color w:val="222222"/>
          <w:kern w:val="0"/>
          <w:sz w:val="24"/>
          <w:szCs w:val="24"/>
        </w:rPr>
      </w:pPr>
      <w:r>
        <w:rPr>
          <w:rFonts w:hint="eastAsia" w:ascii="黑体" w:hAnsi="黑体" w:eastAsia="黑体" w:cs="宋体"/>
          <w:bCs/>
          <w:color w:val="222222"/>
          <w:kern w:val="36"/>
          <w:sz w:val="32"/>
          <w:szCs w:val="32"/>
        </w:rPr>
        <w:t>一、收支决算总体情况</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黑体" w:hAnsi="黑体" w:eastAsia="黑体" w:cs="宋体"/>
          <w:bCs/>
          <w:color w:val="222222"/>
          <w:kern w:val="36"/>
          <w:sz w:val="32"/>
          <w:szCs w:val="32"/>
        </w:rPr>
        <w:t>（一）2021年收入总计1210.1万元。包括:</w:t>
      </w:r>
    </w:p>
    <w:p>
      <w:pPr>
        <w:widowControl/>
        <w:adjustRightInd w:val="0"/>
        <w:spacing w:before="100" w:beforeAutospacing="1" w:after="100" w:afterAutospacing="1" w:line="560" w:lineRule="exact"/>
        <w:ind w:firstLine="640" w:firstLineChars="2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1.财政拨款收入1210.1万元，其中：公共预算财政拨款收入1210.1万元，政府性基金收入0万元。</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2.上级补助收入0 万元。</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3.事业收入0万元。</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4.经营收入 0 万元。</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5.附属单位上缴收入0万元。</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6.其他收入0万元。</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7.用事业基金弥补收支差额 0万元。</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8.上年结转和结余 0万元。</w:t>
      </w:r>
    </w:p>
    <w:p>
      <w:pPr>
        <w:widowControl/>
        <w:adjustRightInd w:val="0"/>
        <w:spacing w:before="100" w:beforeAutospacing="1" w:after="100" w:afterAutospacing="1" w:line="560" w:lineRule="exact"/>
        <w:ind w:firstLine="643" w:firstLineChars="200"/>
        <w:rPr>
          <w:rFonts w:ascii="宋体" w:hAnsi="宋体" w:eastAsia="宋体" w:cs="宋体"/>
          <w:color w:val="222222"/>
          <w:kern w:val="0"/>
          <w:sz w:val="24"/>
          <w:szCs w:val="24"/>
        </w:rPr>
      </w:pPr>
      <w:r>
        <w:rPr>
          <w:rFonts w:hint="eastAsia" w:ascii="仿宋" w:hAnsi="仿宋" w:eastAsia="仿宋" w:cs="宋体"/>
          <w:b/>
          <w:bCs/>
          <w:color w:val="222222"/>
          <w:kern w:val="36"/>
          <w:sz w:val="32"/>
          <w:szCs w:val="32"/>
        </w:rPr>
        <w:t>收入增减情况。</w:t>
      </w:r>
      <w:r>
        <w:rPr>
          <w:rFonts w:hint="eastAsia" w:ascii="仿宋_GB2312" w:hAnsi="宋体" w:eastAsia="仿宋_GB2312" w:cs="宋体"/>
          <w:bCs/>
          <w:color w:val="222222"/>
          <w:kern w:val="36"/>
          <w:sz w:val="32"/>
          <w:szCs w:val="32"/>
        </w:rPr>
        <w:t>2021年，调兵山市财政金融审计服务中心部门决算收入1210.1万元，比上年增加94.22万元，增幅8.44 %，其中：财政拨款收入1210.1万元，同比增加94.22万元，增幅8.44 %；其他收入0万元，同比减少0万元，减幅0%。财政拨款收入同比增减的主要原因是</w:t>
      </w:r>
      <w:r>
        <w:rPr>
          <w:rFonts w:hint="eastAsia" w:ascii="仿宋_GB2312" w:hAnsi="仿宋" w:eastAsia="仿宋_GB2312" w:cs="Times New Roman"/>
          <w:sz w:val="32"/>
          <w:szCs w:val="32"/>
        </w:rPr>
        <w:t>变动原因：2021年建设项目工程预算编审费项目增加</w:t>
      </w:r>
      <w:r>
        <w:rPr>
          <w:rFonts w:hint="eastAsia" w:ascii="仿宋_GB2312" w:hAnsi="宋体" w:eastAsia="仿宋_GB2312" w:cs="宋体"/>
          <w:bCs/>
          <w:color w:val="222222"/>
          <w:kern w:val="36"/>
          <w:sz w:val="32"/>
          <w:szCs w:val="32"/>
        </w:rPr>
        <w:t>。</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黑体" w:hAnsi="黑体" w:eastAsia="黑体" w:cs="宋体"/>
          <w:bCs/>
          <w:color w:val="222222"/>
          <w:kern w:val="36"/>
          <w:sz w:val="32"/>
          <w:szCs w:val="32"/>
        </w:rPr>
        <w:t>（二）支出总计1210.1万元，包括：</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1.基本支出1205.94万元，主要是</w:t>
      </w:r>
      <w:bookmarkEnd w:id="0"/>
      <w:r>
        <w:rPr>
          <w:rFonts w:hint="eastAsia" w:ascii="仿宋_GB2312" w:hAnsi="宋体" w:eastAsia="仿宋_GB2312" w:cs="宋体"/>
          <w:bCs/>
          <w:color w:val="222222"/>
          <w:kern w:val="36"/>
          <w:sz w:val="32"/>
          <w:szCs w:val="32"/>
        </w:rPr>
        <w:t>为人员经费、办公经费而发生的各项支出，其中：工资福利支出958.57万元，对个人和家庭的补助支出0万元，商品和服务支出247.37万元，资本性支出0万元。</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2.项目支出4.16万元。</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3.上缴上级支出0万元。</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4.经营支出0万元。</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5.对附属单位补助支出 0万元。</w:t>
      </w:r>
    </w:p>
    <w:p>
      <w:pPr>
        <w:widowControl/>
        <w:adjustRightInd w:val="0"/>
        <w:spacing w:before="100" w:beforeAutospacing="1" w:after="100" w:afterAutospacing="1" w:line="560" w:lineRule="exact"/>
        <w:ind w:firstLine="643" w:firstLineChars="200"/>
        <w:rPr>
          <w:rFonts w:ascii="宋体" w:hAnsi="宋体" w:eastAsia="宋体" w:cs="宋体"/>
          <w:color w:val="222222"/>
          <w:kern w:val="0"/>
          <w:sz w:val="24"/>
          <w:szCs w:val="24"/>
        </w:rPr>
      </w:pPr>
      <w:r>
        <w:rPr>
          <w:rFonts w:hint="eastAsia" w:ascii="仿宋_GB2312" w:hAnsi="宋体" w:eastAsia="仿宋_GB2312" w:cs="宋体"/>
          <w:b/>
          <w:bCs/>
          <w:color w:val="222222"/>
          <w:kern w:val="36"/>
          <w:sz w:val="32"/>
          <w:szCs w:val="32"/>
        </w:rPr>
        <w:t>支出增减情况。</w:t>
      </w:r>
      <w:r>
        <w:rPr>
          <w:rFonts w:hint="eastAsia" w:ascii="仿宋_GB2312" w:hAnsi="宋体" w:eastAsia="仿宋_GB2312" w:cs="宋体"/>
          <w:bCs/>
          <w:color w:val="222222"/>
          <w:kern w:val="36"/>
          <w:sz w:val="32"/>
          <w:szCs w:val="32"/>
        </w:rPr>
        <w:t>2021年，调兵山市财政金融审计服务中心部门决算总支出1210.1万元，同比增加支出94.22万元，增幅8.44%，其中：基本支出增加138.39万元，增幅12.96%；项目支出减少44.17万元，减幅91.39%。增减支出的主要原因：本单位未发生设备购买类项目支出。</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黑体" w:hAnsi="黑体" w:eastAsia="黑体" w:cs="宋体"/>
          <w:bCs/>
          <w:color w:val="222222"/>
          <w:kern w:val="36"/>
          <w:sz w:val="32"/>
          <w:szCs w:val="32"/>
        </w:rPr>
        <w:t>（三）年末结转和结余 0万元</w:t>
      </w:r>
    </w:p>
    <w:p>
      <w:pPr>
        <w:widowControl/>
        <w:adjustRightInd w:val="0"/>
        <w:spacing w:before="100" w:beforeAutospacing="1" w:after="100" w:afterAutospacing="1" w:line="560" w:lineRule="exact"/>
        <w:ind w:firstLine="640" w:firstLineChars="2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主要是部分未完成项目需下年度继续使用的资金。与上年年末结转和结余0万元相比，今年增减0万元，增长（下降） 0% 。</w:t>
      </w:r>
    </w:p>
    <w:p>
      <w:pPr>
        <w:widowControl/>
        <w:adjustRightInd w:val="0"/>
        <w:spacing w:before="100" w:beforeAutospacing="1" w:after="100" w:afterAutospacing="1" w:line="560" w:lineRule="exact"/>
        <w:ind w:left="638" w:leftChars="304"/>
        <w:rPr>
          <w:rFonts w:ascii="宋体" w:hAnsi="宋体" w:eastAsia="宋体" w:cs="宋体"/>
          <w:color w:val="222222"/>
          <w:kern w:val="0"/>
          <w:sz w:val="24"/>
          <w:szCs w:val="24"/>
        </w:rPr>
      </w:pPr>
      <w:r>
        <w:rPr>
          <w:rFonts w:hint="eastAsia" w:ascii="黑体" w:hAnsi="黑体" w:eastAsia="黑体" w:cs="宋体"/>
          <w:bCs/>
          <w:color w:val="222222"/>
          <w:kern w:val="36"/>
          <w:sz w:val="32"/>
          <w:szCs w:val="32"/>
        </w:rPr>
        <w:t>二、2021年部门财政拨款支出决算情况</w:t>
      </w:r>
      <w:r>
        <w:rPr>
          <w:rFonts w:ascii="宋体" w:hAnsi="宋体" w:eastAsia="宋体" w:cs="宋体"/>
          <w:color w:val="222222"/>
          <w:kern w:val="0"/>
          <w:sz w:val="24"/>
          <w:szCs w:val="24"/>
        </w:rPr>
        <w:br w:type="textWrapping"/>
      </w:r>
      <w:r>
        <w:rPr>
          <w:rFonts w:hint="eastAsia" w:ascii="黑体" w:hAnsi="黑体" w:eastAsia="黑体" w:cs="宋体"/>
          <w:bCs/>
          <w:color w:val="222222"/>
          <w:kern w:val="36"/>
          <w:sz w:val="32"/>
          <w:szCs w:val="32"/>
        </w:rPr>
        <w:t>（一）总体情况</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财政拨款支出决算反映调兵山市财政金融审计服务中心部门2021年整体财政拨款支出情况，既包括使用当年财政拨款发生的支出，也包括使用以前年度财政拨款结转和结余资金发生的支出。2021年度财政拨款支出1210.1万元，其中：基本支出1205.94万元，项目支出4.16万元。与年初预算1164.95万元相比，2021年财政拨款支出完成年初预算的7.28%。</w:t>
      </w:r>
    </w:p>
    <w:p>
      <w:pPr>
        <w:widowControl/>
        <w:adjustRightInd w:val="0"/>
        <w:spacing w:before="100" w:beforeAutospacing="1" w:after="100" w:afterAutospacing="1" w:line="560" w:lineRule="exact"/>
        <w:ind w:left="638" w:leftChars="304"/>
        <w:rPr>
          <w:rFonts w:ascii="宋体" w:hAnsi="宋体" w:eastAsia="宋体" w:cs="宋体"/>
          <w:color w:val="222222"/>
          <w:kern w:val="0"/>
          <w:sz w:val="24"/>
          <w:szCs w:val="24"/>
        </w:rPr>
      </w:pPr>
      <w:r>
        <w:rPr>
          <w:rFonts w:hint="eastAsia" w:ascii="黑体" w:hAnsi="黑体" w:eastAsia="黑体" w:cs="宋体"/>
          <w:bCs/>
          <w:color w:val="222222"/>
          <w:kern w:val="36"/>
          <w:sz w:val="32"/>
          <w:szCs w:val="32"/>
        </w:rPr>
        <w:t>（二）具体情况</w:t>
      </w:r>
    </w:p>
    <w:p>
      <w:pPr>
        <w:widowControl/>
        <w:adjustRightInd w:val="0"/>
        <w:spacing w:before="100" w:beforeAutospacing="1" w:after="100" w:afterAutospacing="1" w:line="560" w:lineRule="exact"/>
        <w:ind w:firstLine="800" w:firstLineChars="25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按支出功能分类科目分，包括一般公共服务支出1210.1万元，国防支出 0万元，公共安全支出0万元，教育支出0万元，科学技术支出0万元，文化旅游体育与传媒支出0万元，社会保障和就业支出 0万元，卫生健康支出0万元，节能环保支出0万元，城乡社区支出0万元，农林水支出0万元，交通运输支出0万元，资源勘探信息等支出0万元，商业服务业等支出 0万元，金融支出0万元，援助其他地区支出0万元，自然资源海洋气象等支出0万元，住房保障支出0万元，粮油物资储备支出 0万元，灾害防治及应急管理支出0万元，其他支出0 万元，抗疫特别国债安排的支出0万元。</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黑体" w:hAnsi="黑体" w:eastAsia="黑体" w:cs="宋体"/>
          <w:bCs/>
          <w:color w:val="222222"/>
          <w:kern w:val="36"/>
          <w:sz w:val="32"/>
          <w:szCs w:val="32"/>
        </w:rPr>
        <w:t>三、2021年“三公”经费决算情况说明</w:t>
      </w:r>
    </w:p>
    <w:p>
      <w:pPr>
        <w:widowControl/>
        <w:adjustRightInd w:val="0"/>
        <w:spacing w:before="100" w:beforeAutospacing="1" w:after="100" w:afterAutospacing="1" w:line="560" w:lineRule="exact"/>
        <w:ind w:firstLine="800" w:firstLineChars="25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2021年“三公”经费决算数 1.7万元，其中：因公出国（境）0万元，公务待费 0万元，公务用车运行费1.7万元，公务用车购置0万元。2021年决算数比（上年）决算数增加0.33万元，其中：公务用车运行费比（上年）增加0.33万元，主要是疫情公车使用较多下派疫情卡点。公务用购置及保有量 0台，国内公务接待累计批次0次、人数0人。</w:t>
      </w:r>
    </w:p>
    <w:p>
      <w:pPr>
        <w:widowControl/>
        <w:adjustRightInd w:val="0"/>
        <w:spacing w:before="100" w:beforeAutospacing="1" w:after="100" w:afterAutospacing="1" w:line="560" w:lineRule="exact"/>
        <w:ind w:firstLine="640" w:firstLineChars="200"/>
        <w:rPr>
          <w:rFonts w:ascii="宋体" w:hAnsi="宋体" w:eastAsia="宋体" w:cs="宋体"/>
          <w:color w:val="222222"/>
          <w:kern w:val="0"/>
          <w:sz w:val="24"/>
          <w:szCs w:val="24"/>
        </w:rPr>
      </w:pPr>
      <w:r>
        <w:rPr>
          <w:rFonts w:hint="eastAsia" w:ascii="黑体" w:hAnsi="黑体" w:eastAsia="黑体" w:cs="宋体"/>
          <w:bCs/>
          <w:color w:val="222222"/>
          <w:kern w:val="36"/>
          <w:sz w:val="32"/>
          <w:szCs w:val="32"/>
        </w:rPr>
        <w:t>四、一般公共预算财政拨款基本支出决算情况说明</w:t>
      </w:r>
    </w:p>
    <w:p>
      <w:pPr>
        <w:widowControl/>
        <w:adjustRightInd w:val="0"/>
        <w:spacing w:before="100" w:beforeAutospacing="1" w:after="100" w:afterAutospacing="1" w:line="560" w:lineRule="exact"/>
        <w:ind w:firstLine="640" w:firstLineChars="2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2021年度一般公共预算财政拨款基本支出1210.1万元，其中：人员经费958.37万元，主要包括基本工资、津贴补贴、奖金、其他社会保障缴费……；公用经费247.37万元，主要包括办公费、印刷费、手续费、水费、项目评审费……。</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黑体" w:hAnsi="黑体" w:eastAsia="黑体" w:cs="宋体"/>
          <w:bCs/>
          <w:color w:val="222222"/>
          <w:kern w:val="36"/>
          <w:sz w:val="32"/>
          <w:szCs w:val="32"/>
        </w:rPr>
        <w:t>五、其他重要事项的情况说明</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黑体" w:hAnsi="黑体" w:eastAsia="黑体" w:cs="宋体"/>
          <w:bCs/>
          <w:color w:val="222222"/>
          <w:kern w:val="36"/>
          <w:sz w:val="32"/>
          <w:szCs w:val="32"/>
        </w:rPr>
        <w:t>（一）机关运行经费支出情况</w:t>
      </w:r>
    </w:p>
    <w:p>
      <w:pPr>
        <w:widowControl/>
        <w:adjustRightInd w:val="0"/>
        <w:spacing w:before="100" w:beforeAutospacing="1" w:after="100" w:afterAutospacing="1" w:line="560" w:lineRule="exact"/>
        <w:ind w:left="638" w:leftChars="304"/>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2021年调兵山市财政金融审计服务中心机关运行经费支出0万元，比上年增加0元，增幅 0 %。</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黑体" w:hAnsi="黑体" w:eastAsia="黑体" w:cs="宋体"/>
          <w:bCs/>
          <w:color w:val="222222"/>
          <w:kern w:val="36"/>
          <w:sz w:val="32"/>
          <w:szCs w:val="32"/>
        </w:rPr>
        <w:t>（二）政府采购支出情况</w:t>
      </w:r>
    </w:p>
    <w:p>
      <w:pPr>
        <w:widowControl/>
        <w:adjustRightInd w:val="0"/>
        <w:spacing w:before="100" w:beforeAutospacing="1" w:after="100" w:afterAutospacing="1" w:line="560" w:lineRule="exact"/>
        <w:ind w:firstLine="640" w:firstLineChars="2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2021年调兵山市财政金融审计服务中心</w:t>
      </w:r>
      <w:r>
        <w:rPr>
          <w:rFonts w:hint="eastAsia" w:ascii="仿宋" w:hAnsi="仿宋" w:eastAsia="仿宋" w:cs="宋体"/>
          <w:bCs/>
          <w:color w:val="222222"/>
          <w:kern w:val="36"/>
          <w:sz w:val="32"/>
          <w:szCs w:val="32"/>
        </w:rPr>
        <w:t>部门</w:t>
      </w:r>
      <w:r>
        <w:rPr>
          <w:rFonts w:hint="eastAsia" w:ascii="仿宋_GB2312" w:hAnsi="宋体" w:eastAsia="仿宋_GB2312" w:cs="宋体"/>
          <w:bCs/>
          <w:color w:val="222222"/>
          <w:kern w:val="36"/>
          <w:sz w:val="32"/>
          <w:szCs w:val="32"/>
        </w:rPr>
        <w:t>政府采购支出总额0万元，其中：政府采购货物支出0万元，政府采购工程支出0万元，政府采购服务支出0万元。</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黑体" w:hAnsi="黑体" w:eastAsia="黑体" w:cs="宋体"/>
          <w:bCs/>
          <w:color w:val="222222"/>
          <w:kern w:val="36"/>
          <w:sz w:val="32"/>
          <w:szCs w:val="32"/>
        </w:rPr>
        <w:t>（三）国有资产占用情况</w:t>
      </w:r>
    </w:p>
    <w:p>
      <w:pPr>
        <w:widowControl/>
        <w:adjustRightInd w:val="0"/>
        <w:spacing w:before="100" w:beforeAutospacing="1" w:after="100" w:afterAutospacing="1" w:line="560" w:lineRule="exact"/>
        <w:ind w:firstLine="480" w:firstLineChars="200"/>
        <w:rPr>
          <w:rFonts w:ascii="宋体" w:hAnsi="宋体" w:eastAsia="宋体" w:cs="宋体"/>
          <w:color w:val="222222"/>
          <w:kern w:val="0"/>
          <w:sz w:val="24"/>
          <w:szCs w:val="24"/>
        </w:rPr>
      </w:pPr>
      <w:r>
        <w:rPr>
          <w:rFonts w:hint="eastAsia" w:ascii="Calibri" w:hAnsi="宋体" w:eastAsia="宋体" w:cs="宋体"/>
          <w:color w:val="222222"/>
          <w:kern w:val="0"/>
          <w:sz w:val="24"/>
          <w:szCs w:val="24"/>
        </w:rPr>
        <w:t>　　</w:t>
      </w:r>
      <w:r>
        <w:rPr>
          <w:rFonts w:hint="eastAsia" w:ascii="仿宋_GB2312" w:hAnsi="宋体" w:eastAsia="仿宋_GB2312" w:cs="宋体"/>
          <w:bCs/>
          <w:color w:val="222222"/>
          <w:kern w:val="36"/>
          <w:sz w:val="32"/>
          <w:szCs w:val="32"/>
        </w:rPr>
        <w:t>截至2021年12月31日，调兵山市财政金融审计服务中心部门共有车辆1辆，其中：副县级以上领导干部用车0 辆，一般公务用车1辆，一般执法执勤用车0辆，特种专业技术用车0辆，其他用车0辆；单位价值50万元以上设备0台（套）,单价100万元以上专用设备0台（套）。</w:t>
      </w:r>
    </w:p>
    <w:p>
      <w:pPr>
        <w:widowControl/>
        <w:adjustRightInd w:val="0"/>
        <w:spacing w:before="100" w:beforeAutospacing="1" w:after="100" w:afterAutospacing="1" w:line="560" w:lineRule="exact"/>
        <w:ind w:firstLine="645"/>
        <w:rPr>
          <w:rFonts w:ascii="宋体" w:hAnsi="宋体" w:eastAsia="宋体" w:cs="宋体"/>
          <w:color w:val="222222"/>
          <w:kern w:val="0"/>
          <w:sz w:val="24"/>
          <w:szCs w:val="24"/>
        </w:rPr>
      </w:pPr>
      <w:r>
        <w:rPr>
          <w:rFonts w:hint="eastAsia" w:ascii="黑体" w:hAnsi="黑体" w:eastAsia="黑体" w:cs="宋体"/>
          <w:bCs/>
          <w:color w:val="222222"/>
          <w:kern w:val="36"/>
          <w:sz w:val="32"/>
          <w:szCs w:val="32"/>
        </w:rPr>
        <w:t>（四）预算绩效管理工作开展情况</w:t>
      </w:r>
    </w:p>
    <w:p>
      <w:pPr>
        <w:widowControl/>
        <w:adjustRightInd w:val="0"/>
        <w:spacing w:before="100" w:beforeAutospacing="1" w:after="100" w:afterAutospacing="1" w:line="560" w:lineRule="exact"/>
        <w:ind w:firstLine="640" w:firstLineChars="20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根据财政绩效管理要求，我单位组织对2021年度预算项目支出开展了绩效自评，共涉及办公经费等项目 5个，涉及资金1210.1万元，自评覆盖率（开展绩效自评的项目数/年初批复绩效目标的项目数）达到100%，自评平均分（开展绩效自评的项目分数总和/开展绩效自评的项目数）为98.5分。</w:t>
      </w:r>
    </w:p>
    <w:p>
      <w:pPr>
        <w:widowControl/>
        <w:adjustRightInd w:val="0"/>
        <w:spacing w:before="100" w:beforeAutospacing="1" w:after="100" w:afterAutospacing="1" w:line="560" w:lineRule="exact"/>
        <w:ind w:firstLine="640" w:firstLineChars="200"/>
        <w:rPr>
          <w:rFonts w:ascii="宋体" w:hAnsi="宋体" w:eastAsia="宋体" w:cs="宋体"/>
          <w:color w:val="FF0000"/>
          <w:kern w:val="0"/>
          <w:sz w:val="40"/>
          <w:szCs w:val="24"/>
        </w:rPr>
      </w:pPr>
      <w:r>
        <w:rPr>
          <w:rFonts w:hint="eastAsia" w:ascii="仿宋_GB2312" w:hAnsi="宋体" w:eastAsia="仿宋_GB2312" w:cs="宋体"/>
          <w:bCs/>
          <w:color w:val="222222"/>
          <w:kern w:val="36"/>
          <w:sz w:val="32"/>
          <w:szCs w:val="32"/>
        </w:rPr>
        <w:t>通过绩效自评发现，我单位在财政预算资金管理中还存在以下问题：一是财政资金使用效率还需提高；二是项目建设需要进一步强化管理；三是节约意识需要加强。</w:t>
      </w:r>
    </w:p>
    <w:p>
      <w:pPr>
        <w:widowControl/>
        <w:adjustRightInd w:val="0"/>
        <w:spacing w:before="100" w:beforeAutospacing="1" w:after="100" w:afterAutospacing="1" w:line="560" w:lineRule="exact"/>
        <w:ind w:firstLine="640" w:firstLineChars="200"/>
        <w:rPr>
          <w:rFonts w:ascii="宋体" w:hAnsi="宋体" w:eastAsia="宋体" w:cs="宋体"/>
          <w:color w:val="FF0000"/>
          <w:kern w:val="0"/>
          <w:sz w:val="40"/>
          <w:szCs w:val="24"/>
        </w:rPr>
      </w:pPr>
      <w:r>
        <w:rPr>
          <w:rFonts w:hint="eastAsia" w:ascii="仿宋_GB2312" w:hAnsi="宋体" w:eastAsia="仿宋_GB2312" w:cs="宋体"/>
          <w:bCs/>
          <w:color w:val="222222"/>
          <w:kern w:val="36"/>
          <w:sz w:val="32"/>
          <w:szCs w:val="32"/>
        </w:rPr>
        <w:t>下一步我单位将采取以下措施加以改进：一是切实履行我单位作为用款人的绩效评价主体责任，强化绩效理念，树立绩效意识。二是充分吸取、运用绩效自评成果，提高资金使用效率。三是牢固树立过紧日子思想，提高节约意识。四是强化项目管理。进一步科学论证、审查项目。五是全面跟踪项目实施进展情况，高效利用有限的财政资金。六是科学设置绩效评价标准，更加符合实际，客观科学。</w:t>
      </w:r>
    </w:p>
    <w:p>
      <w:pPr>
        <w:widowControl/>
        <w:adjustRightInd w:val="0"/>
        <w:spacing w:before="100" w:beforeAutospacing="1" w:after="100" w:afterAutospacing="1" w:line="560" w:lineRule="exact"/>
        <w:ind w:firstLine="480" w:firstLineChars="200"/>
        <w:rPr>
          <w:rFonts w:ascii="宋体" w:hAnsi="宋体" w:eastAsia="宋体" w:cs="宋体"/>
          <w:color w:val="222222"/>
          <w:kern w:val="0"/>
          <w:sz w:val="24"/>
          <w:szCs w:val="24"/>
        </w:rPr>
      </w:pPr>
    </w:p>
    <w:p>
      <w:pPr>
        <w:widowControl/>
        <w:adjustRightInd w:val="0"/>
        <w:spacing w:before="100" w:beforeAutospacing="1" w:after="100" w:afterAutospacing="1" w:line="560" w:lineRule="exact"/>
        <w:jc w:val="center"/>
        <w:rPr>
          <w:rFonts w:ascii="宋体" w:hAnsi="宋体" w:eastAsia="宋体" w:cs="宋体"/>
          <w:color w:val="222222"/>
          <w:kern w:val="0"/>
          <w:sz w:val="24"/>
          <w:szCs w:val="24"/>
        </w:rPr>
      </w:pPr>
      <w:r>
        <w:rPr>
          <w:rFonts w:hint="eastAsia" w:ascii="宋体" w:hAnsi="宋体" w:eastAsia="宋体" w:cs="宋体"/>
          <w:b/>
          <w:bCs/>
          <w:color w:val="222222"/>
          <w:kern w:val="36"/>
          <w:sz w:val="44"/>
          <w:szCs w:val="44"/>
        </w:rPr>
        <w:t>第四部分 名词解释</w:t>
      </w:r>
    </w:p>
    <w:p>
      <w:pPr>
        <w:widowControl/>
        <w:adjustRightInd w:val="0"/>
        <w:spacing w:before="100" w:beforeAutospacing="1" w:after="100" w:afterAutospacing="1" w:line="560" w:lineRule="exact"/>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　　1.财政拨款收入：指同级财政当年拨付的资金。</w:t>
      </w:r>
    </w:p>
    <w:p>
      <w:pPr>
        <w:widowControl/>
        <w:adjustRightInd w:val="0"/>
        <w:spacing w:before="100" w:beforeAutospacing="1" w:after="100" w:afterAutospacing="1" w:line="560" w:lineRule="exact"/>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　　2.基本支出：指保障机构正常运转、完成日常工作任务而发生的人员支出和公用支出。</w:t>
      </w:r>
    </w:p>
    <w:p>
      <w:pPr>
        <w:widowControl/>
        <w:adjustRightInd w:val="0"/>
        <w:spacing w:before="100" w:beforeAutospacing="1" w:after="100" w:afterAutospacing="1" w:line="560" w:lineRule="exact"/>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　　3.项目支出：指在基本支出之外为完成特定行政任务和事业发展目标所发生的支出。</w:t>
      </w:r>
    </w:p>
    <w:p>
      <w:pPr>
        <w:widowControl/>
        <w:adjustRightInd w:val="0"/>
        <w:spacing w:before="100" w:beforeAutospacing="1" w:after="100" w:afterAutospacing="1" w:line="560" w:lineRule="exact"/>
        <w:ind w:firstLine="66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4.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widowControl/>
        <w:adjustRightInd w:val="0"/>
        <w:spacing w:before="100" w:beforeAutospacing="1" w:after="100" w:afterAutospacing="1" w:line="560" w:lineRule="exact"/>
        <w:ind w:firstLine="660"/>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5.上年结转和结余：指以前年度尚未完成、结转到本年按有关规定继续使用的资金。</w:t>
      </w:r>
    </w:p>
    <w:p>
      <w:pPr>
        <w:widowControl/>
        <w:adjustRightInd w:val="0"/>
        <w:spacing w:before="100" w:beforeAutospacing="1" w:after="100" w:afterAutospacing="1" w:line="560" w:lineRule="exact"/>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widowControl/>
        <w:adjustRightInd w:val="0"/>
        <w:spacing w:before="100" w:beforeAutospacing="1" w:after="100" w:afterAutospacing="1" w:line="560" w:lineRule="exact"/>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　　7.其他收入：指除上述“财政拨款收入”、“专项收入”、“行政事业性收费收入”、“政府性基金收入”以外的收入。</w:t>
      </w:r>
    </w:p>
    <w:p>
      <w:pPr>
        <w:widowControl/>
        <w:adjustRightInd w:val="0"/>
        <w:spacing w:before="100" w:beforeAutospacing="1" w:after="100" w:afterAutospacing="1" w:line="560" w:lineRule="exact"/>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　　8.“三公”经费：指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spacing w:before="100" w:beforeAutospacing="1" w:after="100" w:afterAutospacing="1" w:line="378" w:lineRule="atLeast"/>
        <w:ind w:firstLine="643"/>
        <w:jc w:val="left"/>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9.一般公共服务（类）财政事务（款）行政运行（项）：反</w:t>
      </w:r>
      <w:r>
        <w:rPr>
          <w:rFonts w:hint="eastAsia" w:ascii="仿宋_GB2312" w:hAnsi="宋体" w:eastAsia="仿宋_GB2312" w:cs="宋体"/>
          <w:color w:val="000000"/>
          <w:kern w:val="0"/>
          <w:sz w:val="32"/>
          <w:szCs w:val="32"/>
        </w:rPr>
        <w:t>映行政单位（包括实行公务员管理的事业单位）的基本支出。</w:t>
      </w:r>
    </w:p>
    <w:p>
      <w:pPr>
        <w:widowControl/>
        <w:spacing w:before="100" w:beforeAutospacing="1" w:after="100" w:afterAutospacing="1" w:line="378" w:lineRule="atLeast"/>
        <w:ind w:firstLine="643"/>
        <w:jc w:val="left"/>
        <w:rPr>
          <w:rFonts w:ascii="宋体" w:hAnsi="宋体" w:eastAsia="宋体" w:cs="宋体"/>
          <w:color w:val="222222"/>
          <w:kern w:val="0"/>
          <w:sz w:val="24"/>
          <w:szCs w:val="24"/>
        </w:rPr>
      </w:pPr>
      <w:r>
        <w:rPr>
          <w:rFonts w:hint="eastAsia" w:ascii="仿宋_GB2312" w:hAnsi="宋体" w:eastAsia="仿宋_GB2312" w:cs="宋体"/>
          <w:bCs/>
          <w:color w:val="222222"/>
          <w:kern w:val="36"/>
          <w:sz w:val="32"/>
          <w:szCs w:val="32"/>
        </w:rPr>
        <w:t>10.一般公共服务（类）财政事务（款）一般行政管理事务（项）：</w:t>
      </w:r>
      <w:r>
        <w:rPr>
          <w:rFonts w:hint="eastAsia" w:ascii="仿宋_GB2312" w:hAnsi="宋体" w:eastAsia="仿宋_GB2312" w:cs="宋体"/>
          <w:color w:val="000000"/>
          <w:kern w:val="0"/>
          <w:sz w:val="32"/>
          <w:szCs w:val="32"/>
        </w:rPr>
        <w:t>反映行政单位（包括实行公务员管理的事业单位）未单独设置项级科目的其他项目支出。</w:t>
      </w:r>
    </w:p>
    <w:p>
      <w:pPr>
        <w:widowControl/>
        <w:spacing w:before="100" w:beforeAutospacing="1" w:after="100" w:afterAutospacing="1" w:line="378" w:lineRule="atLeast"/>
        <w:ind w:firstLine="643"/>
        <w:jc w:val="left"/>
        <w:rPr>
          <w:rFonts w:ascii="宋体" w:hAnsi="宋体" w:eastAsia="宋体" w:cs="宋体"/>
          <w:color w:val="222222"/>
          <w:kern w:val="0"/>
          <w:sz w:val="24"/>
          <w:szCs w:val="24"/>
        </w:rPr>
      </w:pPr>
      <w:r>
        <w:rPr>
          <w:rFonts w:hint="eastAsia" w:ascii="仿宋_GB2312" w:hAnsi="宋体" w:eastAsia="仿宋_GB2312" w:cs="宋体"/>
          <w:color w:val="000000"/>
          <w:kern w:val="0"/>
          <w:sz w:val="32"/>
          <w:szCs w:val="32"/>
        </w:rPr>
        <w:t>11.社会保障和就业支出（类）行政事业单位离退休（款）归口管理的事业单位离退休（项）：反映实行归口管理的行政单位（包括实行公务员管理的事业单位）开支的离退休经费。</w:t>
      </w:r>
    </w:p>
    <w:p>
      <w:pPr>
        <w:widowControl/>
        <w:spacing w:before="100" w:beforeAutospacing="1" w:after="100" w:afterAutospacing="1" w:line="378" w:lineRule="atLeast"/>
        <w:ind w:firstLine="640"/>
        <w:jc w:val="left"/>
        <w:rPr>
          <w:rFonts w:ascii="宋体" w:hAnsi="宋体" w:eastAsia="宋体" w:cs="宋体"/>
          <w:color w:val="222222"/>
          <w:kern w:val="0"/>
          <w:sz w:val="24"/>
          <w:szCs w:val="24"/>
        </w:rPr>
      </w:pPr>
      <w:r>
        <w:rPr>
          <w:rFonts w:hint="eastAsia" w:ascii="仿宋_GB2312" w:hAnsi="宋体" w:eastAsia="仿宋_GB2312" w:cs="宋体"/>
          <w:color w:val="000000"/>
          <w:kern w:val="0"/>
          <w:sz w:val="32"/>
          <w:szCs w:val="32"/>
        </w:rPr>
        <w:t>12.社会保障和就业支出（类）行政事业单位离退休（款）事业单位离退休（项）：反映实行归口管理的事业单位开支的离退休经费。</w:t>
      </w:r>
    </w:p>
    <w:p>
      <w:pPr>
        <w:widowControl/>
        <w:spacing w:before="100" w:beforeAutospacing="1" w:after="100" w:afterAutospacing="1" w:line="378" w:lineRule="atLeast"/>
        <w:ind w:firstLine="643"/>
        <w:jc w:val="left"/>
        <w:rPr>
          <w:rFonts w:ascii="宋体" w:hAnsi="宋体" w:eastAsia="宋体" w:cs="宋体"/>
          <w:color w:val="222222"/>
          <w:kern w:val="0"/>
          <w:sz w:val="24"/>
          <w:szCs w:val="24"/>
        </w:rPr>
      </w:pPr>
      <w:r>
        <w:rPr>
          <w:rFonts w:hint="eastAsia" w:ascii="仿宋_GB2312" w:hAnsi="宋体" w:eastAsia="仿宋_GB2312" w:cs="宋体"/>
          <w:color w:val="000000"/>
          <w:kern w:val="0"/>
          <w:sz w:val="32"/>
          <w:szCs w:val="32"/>
        </w:rPr>
        <w:t>13.医疗卫生（类）医疗保障（款）行政单位医疗（项）：反映财政部门集中安排的行政单位基本医疗保险缴费经费，未参加医疗保险的行政单位的公费医疗经费，按国家规定享受离休人员、红军老战士待遇人员的医疗经费。</w:t>
      </w:r>
    </w:p>
    <w:p>
      <w:pPr>
        <w:widowControl/>
        <w:spacing w:before="100" w:beforeAutospacing="1" w:after="100" w:afterAutospacing="1" w:line="378" w:lineRule="atLeast"/>
        <w:ind w:firstLine="643"/>
        <w:jc w:val="left"/>
        <w:rPr>
          <w:rFonts w:ascii="宋体" w:hAnsi="宋体" w:eastAsia="宋体" w:cs="宋体"/>
          <w:color w:val="222222"/>
          <w:kern w:val="0"/>
          <w:sz w:val="24"/>
          <w:szCs w:val="24"/>
        </w:rPr>
      </w:pPr>
      <w:r>
        <w:rPr>
          <w:rFonts w:hint="eastAsia" w:ascii="仿宋_GB2312" w:hAnsi="宋体" w:eastAsia="仿宋_GB2312" w:cs="宋体"/>
          <w:color w:val="000000"/>
          <w:kern w:val="0"/>
          <w:sz w:val="32"/>
          <w:szCs w:val="32"/>
        </w:rPr>
        <w:t>14.医疗卫生（类）医疗保障（款）事业单位医疗（项）：反映财政部门集中安排的行政单位基本医疗保险缴费经费，未参加医疗保险的行政单位的公费医疗经费，按国家规定享受离休人员、红军老战士待遇人员的医疗经费。</w:t>
      </w:r>
    </w:p>
    <w:p>
      <w:pPr>
        <w:widowControl/>
        <w:spacing w:before="100" w:beforeAutospacing="1" w:after="100" w:afterAutospacing="1" w:line="378" w:lineRule="atLeast"/>
        <w:ind w:firstLine="643"/>
        <w:jc w:val="left"/>
        <w:rPr>
          <w:rFonts w:ascii="宋体" w:hAnsi="宋体" w:eastAsia="宋体" w:cs="宋体"/>
          <w:color w:val="222222"/>
          <w:kern w:val="0"/>
          <w:sz w:val="24"/>
          <w:szCs w:val="24"/>
        </w:rPr>
      </w:pPr>
      <w:r>
        <w:rPr>
          <w:rFonts w:hint="eastAsia" w:ascii="仿宋_GB2312" w:hAnsi="宋体" w:eastAsia="仿宋_GB2312" w:cs="宋体"/>
          <w:color w:val="000000"/>
          <w:kern w:val="0"/>
          <w:sz w:val="32"/>
          <w:szCs w:val="32"/>
        </w:rPr>
        <w:t>15.资源勘探信息等支出（类）工业和信息产业监管（款）其他工业和信息产业监管支出（项）：反映除上述项目以外其他用于工业和信息产业监管方面的支出。</w:t>
      </w:r>
    </w:p>
    <w:p>
      <w:pPr>
        <w:widowControl/>
        <w:spacing w:before="100" w:beforeAutospacing="1" w:after="100" w:afterAutospacing="1" w:line="378" w:lineRule="atLeast"/>
        <w:ind w:firstLine="643"/>
        <w:jc w:val="left"/>
        <w:rPr>
          <w:rFonts w:ascii="宋体" w:hAnsi="宋体" w:eastAsia="宋体" w:cs="宋体"/>
          <w:color w:val="222222"/>
          <w:kern w:val="0"/>
          <w:sz w:val="24"/>
          <w:szCs w:val="24"/>
        </w:rPr>
      </w:pPr>
      <w:r>
        <w:rPr>
          <w:rFonts w:hint="eastAsia" w:ascii="仿宋_GB2312" w:hAnsi="宋体" w:eastAsia="仿宋_GB2312" w:cs="宋体"/>
          <w:color w:val="000000"/>
          <w:kern w:val="0"/>
          <w:sz w:val="32"/>
          <w:szCs w:val="32"/>
        </w:rPr>
        <w:t>16.住房保障（类）住房改革（款）住房公积金（项）：反映行政事业单位按人力资源和社会保障部、财政部规定的基本工资和津贴补贴以及规定比例为职工缴纳的住房公积金。</w:t>
      </w:r>
    </w:p>
    <w:p>
      <w:pPr>
        <w:widowControl/>
        <w:spacing w:before="100" w:beforeAutospacing="1" w:after="100" w:afterAutospacing="1" w:line="378" w:lineRule="atLeast"/>
        <w:ind w:firstLine="643"/>
        <w:jc w:val="left"/>
        <w:rPr>
          <w:rFonts w:ascii="宋体" w:hAnsi="宋体" w:eastAsia="宋体" w:cs="宋体"/>
          <w:color w:val="222222"/>
          <w:kern w:val="0"/>
          <w:sz w:val="24"/>
          <w:szCs w:val="24"/>
        </w:rPr>
      </w:pPr>
      <w:r>
        <w:rPr>
          <w:rFonts w:hint="eastAsia" w:ascii="仿宋_GB2312" w:hAnsi="宋体" w:eastAsia="仿宋_GB2312" w:cs="宋体"/>
          <w:color w:val="000000"/>
          <w:kern w:val="0"/>
          <w:sz w:val="32"/>
          <w:szCs w:val="32"/>
        </w:rPr>
        <w:t>17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F8"/>
    <w:rsid w:val="00003F48"/>
    <w:rsid w:val="0001755F"/>
    <w:rsid w:val="00044443"/>
    <w:rsid w:val="00070FDC"/>
    <w:rsid w:val="00073E9C"/>
    <w:rsid w:val="00077A4B"/>
    <w:rsid w:val="0008108E"/>
    <w:rsid w:val="0009023E"/>
    <w:rsid w:val="000C3F7B"/>
    <w:rsid w:val="000C5EBF"/>
    <w:rsid w:val="000D6BB4"/>
    <w:rsid w:val="000D6D22"/>
    <w:rsid w:val="000F2059"/>
    <w:rsid w:val="000F63BB"/>
    <w:rsid w:val="00120F14"/>
    <w:rsid w:val="00125FB7"/>
    <w:rsid w:val="00127509"/>
    <w:rsid w:val="00137853"/>
    <w:rsid w:val="001404D9"/>
    <w:rsid w:val="0015167D"/>
    <w:rsid w:val="00154595"/>
    <w:rsid w:val="00164803"/>
    <w:rsid w:val="001949A9"/>
    <w:rsid w:val="00197B0B"/>
    <w:rsid w:val="001B42AB"/>
    <w:rsid w:val="001C0550"/>
    <w:rsid w:val="001C13CC"/>
    <w:rsid w:val="001C5E06"/>
    <w:rsid w:val="001C7E11"/>
    <w:rsid w:val="001F397C"/>
    <w:rsid w:val="001F4978"/>
    <w:rsid w:val="001F6478"/>
    <w:rsid w:val="00232BED"/>
    <w:rsid w:val="0023639B"/>
    <w:rsid w:val="0023722B"/>
    <w:rsid w:val="00237B7B"/>
    <w:rsid w:val="0025372C"/>
    <w:rsid w:val="00272D58"/>
    <w:rsid w:val="002733CD"/>
    <w:rsid w:val="00280628"/>
    <w:rsid w:val="00290EA9"/>
    <w:rsid w:val="00291CBB"/>
    <w:rsid w:val="00294462"/>
    <w:rsid w:val="002A1B97"/>
    <w:rsid w:val="002A1D8B"/>
    <w:rsid w:val="002A3400"/>
    <w:rsid w:val="002A5C1F"/>
    <w:rsid w:val="002A6D88"/>
    <w:rsid w:val="002D5FBF"/>
    <w:rsid w:val="002E14C0"/>
    <w:rsid w:val="002E4E3A"/>
    <w:rsid w:val="00322092"/>
    <w:rsid w:val="00337030"/>
    <w:rsid w:val="00337EA9"/>
    <w:rsid w:val="003508CD"/>
    <w:rsid w:val="0035654A"/>
    <w:rsid w:val="0035747A"/>
    <w:rsid w:val="003614BA"/>
    <w:rsid w:val="0037268A"/>
    <w:rsid w:val="00383DF8"/>
    <w:rsid w:val="003B4782"/>
    <w:rsid w:val="003B50AB"/>
    <w:rsid w:val="003B6440"/>
    <w:rsid w:val="003C3098"/>
    <w:rsid w:val="003C4435"/>
    <w:rsid w:val="003D10AD"/>
    <w:rsid w:val="003D366F"/>
    <w:rsid w:val="00421F04"/>
    <w:rsid w:val="00430431"/>
    <w:rsid w:val="00486FEE"/>
    <w:rsid w:val="004B24F8"/>
    <w:rsid w:val="004B2582"/>
    <w:rsid w:val="004B325D"/>
    <w:rsid w:val="004B4EDF"/>
    <w:rsid w:val="004C18B3"/>
    <w:rsid w:val="004C2490"/>
    <w:rsid w:val="004D3F0A"/>
    <w:rsid w:val="004F77D0"/>
    <w:rsid w:val="004F7A0F"/>
    <w:rsid w:val="00505108"/>
    <w:rsid w:val="005313A2"/>
    <w:rsid w:val="00547C28"/>
    <w:rsid w:val="00557E8F"/>
    <w:rsid w:val="00563B64"/>
    <w:rsid w:val="00576C48"/>
    <w:rsid w:val="00586C55"/>
    <w:rsid w:val="00591BCB"/>
    <w:rsid w:val="005A280F"/>
    <w:rsid w:val="005B3B54"/>
    <w:rsid w:val="005C1B39"/>
    <w:rsid w:val="005F5E67"/>
    <w:rsid w:val="0060265C"/>
    <w:rsid w:val="006149A6"/>
    <w:rsid w:val="00630D11"/>
    <w:rsid w:val="00672F89"/>
    <w:rsid w:val="00675CDE"/>
    <w:rsid w:val="006833D4"/>
    <w:rsid w:val="00685061"/>
    <w:rsid w:val="00693504"/>
    <w:rsid w:val="00697FB1"/>
    <w:rsid w:val="006A38B5"/>
    <w:rsid w:val="006A5E8A"/>
    <w:rsid w:val="006C4F6F"/>
    <w:rsid w:val="006C6FBA"/>
    <w:rsid w:val="006D0E00"/>
    <w:rsid w:val="006D6409"/>
    <w:rsid w:val="006E60CD"/>
    <w:rsid w:val="0072131A"/>
    <w:rsid w:val="00722B3E"/>
    <w:rsid w:val="007277FB"/>
    <w:rsid w:val="00731A8A"/>
    <w:rsid w:val="00740800"/>
    <w:rsid w:val="0074136C"/>
    <w:rsid w:val="007530F2"/>
    <w:rsid w:val="00754171"/>
    <w:rsid w:val="00783FFC"/>
    <w:rsid w:val="007A2030"/>
    <w:rsid w:val="007A51F0"/>
    <w:rsid w:val="007A5F20"/>
    <w:rsid w:val="007B5F3B"/>
    <w:rsid w:val="007D287C"/>
    <w:rsid w:val="007E5432"/>
    <w:rsid w:val="007F2128"/>
    <w:rsid w:val="007F21D9"/>
    <w:rsid w:val="007F4A29"/>
    <w:rsid w:val="00815650"/>
    <w:rsid w:val="00827989"/>
    <w:rsid w:val="0083308E"/>
    <w:rsid w:val="00844EBC"/>
    <w:rsid w:val="00847B77"/>
    <w:rsid w:val="008521B3"/>
    <w:rsid w:val="0085290F"/>
    <w:rsid w:val="00864972"/>
    <w:rsid w:val="0088019D"/>
    <w:rsid w:val="00884738"/>
    <w:rsid w:val="008B045A"/>
    <w:rsid w:val="008B0D3C"/>
    <w:rsid w:val="008C1AB0"/>
    <w:rsid w:val="008D4D92"/>
    <w:rsid w:val="008F03BC"/>
    <w:rsid w:val="008F08CF"/>
    <w:rsid w:val="00902775"/>
    <w:rsid w:val="00905554"/>
    <w:rsid w:val="00912686"/>
    <w:rsid w:val="009248AA"/>
    <w:rsid w:val="00947886"/>
    <w:rsid w:val="0095079F"/>
    <w:rsid w:val="009509C1"/>
    <w:rsid w:val="00954D80"/>
    <w:rsid w:val="00960D88"/>
    <w:rsid w:val="00961E37"/>
    <w:rsid w:val="009770A3"/>
    <w:rsid w:val="00981678"/>
    <w:rsid w:val="00987CC7"/>
    <w:rsid w:val="009A5E49"/>
    <w:rsid w:val="009B0476"/>
    <w:rsid w:val="009B0E1A"/>
    <w:rsid w:val="009B5F62"/>
    <w:rsid w:val="009C6BF3"/>
    <w:rsid w:val="009D3EEE"/>
    <w:rsid w:val="009E589C"/>
    <w:rsid w:val="00A11664"/>
    <w:rsid w:val="00A57DF7"/>
    <w:rsid w:val="00A668E0"/>
    <w:rsid w:val="00A70FC9"/>
    <w:rsid w:val="00A93F65"/>
    <w:rsid w:val="00AA5438"/>
    <w:rsid w:val="00AB12AF"/>
    <w:rsid w:val="00AB4A0E"/>
    <w:rsid w:val="00AC4DDB"/>
    <w:rsid w:val="00AD0178"/>
    <w:rsid w:val="00B1012A"/>
    <w:rsid w:val="00B13C15"/>
    <w:rsid w:val="00B32EE8"/>
    <w:rsid w:val="00B33DD0"/>
    <w:rsid w:val="00B40D3B"/>
    <w:rsid w:val="00B525DE"/>
    <w:rsid w:val="00B573DB"/>
    <w:rsid w:val="00B62B14"/>
    <w:rsid w:val="00B63EAB"/>
    <w:rsid w:val="00B6429B"/>
    <w:rsid w:val="00B866BA"/>
    <w:rsid w:val="00B94418"/>
    <w:rsid w:val="00BD7238"/>
    <w:rsid w:val="00BD76D4"/>
    <w:rsid w:val="00BE1D5B"/>
    <w:rsid w:val="00BE79C8"/>
    <w:rsid w:val="00C14F6F"/>
    <w:rsid w:val="00C17282"/>
    <w:rsid w:val="00C172D0"/>
    <w:rsid w:val="00C24658"/>
    <w:rsid w:val="00C370E7"/>
    <w:rsid w:val="00C413FC"/>
    <w:rsid w:val="00C45657"/>
    <w:rsid w:val="00C4653F"/>
    <w:rsid w:val="00C66DDF"/>
    <w:rsid w:val="00C728DE"/>
    <w:rsid w:val="00C72AA7"/>
    <w:rsid w:val="00CA174A"/>
    <w:rsid w:val="00CA42F2"/>
    <w:rsid w:val="00CB76C2"/>
    <w:rsid w:val="00CC78FC"/>
    <w:rsid w:val="00CE376C"/>
    <w:rsid w:val="00CE4C9B"/>
    <w:rsid w:val="00CE6051"/>
    <w:rsid w:val="00CF15D0"/>
    <w:rsid w:val="00D04B90"/>
    <w:rsid w:val="00D04DF3"/>
    <w:rsid w:val="00D227BF"/>
    <w:rsid w:val="00D34EBE"/>
    <w:rsid w:val="00D4155A"/>
    <w:rsid w:val="00D56F4A"/>
    <w:rsid w:val="00D646EF"/>
    <w:rsid w:val="00D739CF"/>
    <w:rsid w:val="00D86773"/>
    <w:rsid w:val="00D974F8"/>
    <w:rsid w:val="00DB10DD"/>
    <w:rsid w:val="00DB5876"/>
    <w:rsid w:val="00DE3F0C"/>
    <w:rsid w:val="00E34312"/>
    <w:rsid w:val="00E36EE8"/>
    <w:rsid w:val="00E60ABB"/>
    <w:rsid w:val="00E72669"/>
    <w:rsid w:val="00E747A0"/>
    <w:rsid w:val="00E753C4"/>
    <w:rsid w:val="00E872E8"/>
    <w:rsid w:val="00EB5CEE"/>
    <w:rsid w:val="00ED27C9"/>
    <w:rsid w:val="00ED7FA1"/>
    <w:rsid w:val="00EE0002"/>
    <w:rsid w:val="00EE2F88"/>
    <w:rsid w:val="00EF4D97"/>
    <w:rsid w:val="00F019F9"/>
    <w:rsid w:val="00F218A9"/>
    <w:rsid w:val="00F30A3C"/>
    <w:rsid w:val="00F30B39"/>
    <w:rsid w:val="00F413BC"/>
    <w:rsid w:val="00F519B8"/>
    <w:rsid w:val="00F53254"/>
    <w:rsid w:val="00F61C7B"/>
    <w:rsid w:val="00F66023"/>
    <w:rsid w:val="00F7400C"/>
    <w:rsid w:val="00F90FA4"/>
    <w:rsid w:val="00FA12D1"/>
    <w:rsid w:val="00FA452A"/>
    <w:rsid w:val="00FE5B29"/>
    <w:rsid w:val="00FF4ADB"/>
    <w:rsid w:val="4C894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F1B714-51EB-445C-B190-BFD45E0D8616}">
  <ds:schemaRefs/>
</ds:datastoreItem>
</file>

<file path=docProps/app.xml><?xml version="1.0" encoding="utf-8"?>
<Properties xmlns="http://schemas.openxmlformats.org/officeDocument/2006/extended-properties" xmlns:vt="http://schemas.openxmlformats.org/officeDocument/2006/docPropsVTypes">
  <Template>Normal</Template>
  <Pages>12</Pages>
  <Words>708</Words>
  <Characters>4042</Characters>
  <Lines>33</Lines>
  <Paragraphs>9</Paragraphs>
  <TotalTime>2496</TotalTime>
  <ScaleCrop>false</ScaleCrop>
  <LinksUpToDate>false</LinksUpToDate>
  <CharactersWithSpaces>4741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2022-07-11T08:55:00Z</dcterms:created>
  <dc:creator>Windows 用户</dc:creator>
  <cp:lastModifiedBy>Administrator</cp:lastModifiedBy>
  <cp:lastPrinted>2023-09-18T05:47:00Z</cp:lastPrinted>
  <dcterms:modified xsi:type="dcterms:W3CDTF">2023-09-18T07:17:37Z</dcterms:modified>
  <cp:revision>391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