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附件：1</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宋体" w:hAnsi="宋体" w:eastAsia="宋体" w:cs="宋体"/>
          <w:b/>
          <w:bCs/>
          <w:color w:val="222222"/>
          <w:kern w:val="36"/>
          <w:sz w:val="44"/>
          <w:szCs w:val="44"/>
        </w:rPr>
        <w:t>调兵山市</w:t>
      </w:r>
      <w:r>
        <w:rPr>
          <w:rFonts w:hint="eastAsia" w:ascii="宋体" w:hAnsi="宋体" w:eastAsia="宋体" w:cs="宋体"/>
          <w:b/>
          <w:bCs/>
          <w:color w:val="222222"/>
          <w:kern w:val="36"/>
          <w:sz w:val="44"/>
          <w:szCs w:val="44"/>
          <w:lang w:eastAsia="zh-CN"/>
        </w:rPr>
        <w:t>城市发展服务中心</w:t>
      </w:r>
      <w:r>
        <w:rPr>
          <w:rFonts w:hint="eastAsia" w:ascii="宋体" w:hAnsi="宋体" w:eastAsia="宋体" w:cs="宋体"/>
          <w:b/>
          <w:bCs/>
          <w:color w:val="222222"/>
          <w:kern w:val="36"/>
          <w:sz w:val="44"/>
          <w:szCs w:val="44"/>
        </w:rPr>
        <w:t>决算公开情况细则</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黑体" w:hAnsi="黑体" w:eastAsia="黑体" w:cs="宋体"/>
          <w:bCs/>
          <w:color w:val="222222"/>
          <w:kern w:val="36"/>
          <w:sz w:val="32"/>
          <w:szCs w:val="32"/>
        </w:rPr>
        <w:t>目</w:t>
      </w:r>
      <w:r>
        <w:rPr>
          <w:rFonts w:hint="eastAsia" w:ascii="宋体" w:hAnsi="宋体" w:eastAsia="宋体" w:cs="宋体"/>
          <w:bCs/>
          <w:color w:val="222222"/>
          <w:kern w:val="36"/>
          <w:sz w:val="32"/>
          <w:szCs w:val="32"/>
        </w:rPr>
        <w:t>   </w:t>
      </w:r>
      <w:r>
        <w:rPr>
          <w:rFonts w:hint="eastAsia" w:ascii="黑体" w:hAnsi="黑体" w:eastAsia="黑体" w:cs="黑体"/>
          <w:bCs/>
          <w:color w:val="222222"/>
          <w:kern w:val="36"/>
          <w:sz w:val="32"/>
          <w:szCs w:val="32"/>
        </w:rPr>
        <w:t xml:space="preserve"> </w:t>
      </w:r>
      <w:r>
        <w:rPr>
          <w:rFonts w:hint="eastAsia" w:ascii="黑体" w:hAnsi="黑体" w:eastAsia="黑体" w:cs="宋体"/>
          <w:bCs/>
          <w:color w:val="222222"/>
          <w:kern w:val="36"/>
          <w:sz w:val="32"/>
          <w:szCs w:val="32"/>
        </w:rPr>
        <w:t>录</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w:t>
      </w:r>
      <w:r>
        <w:rPr>
          <w:rFonts w:hint="eastAsia" w:ascii="黑体" w:hAnsi="黑体" w:eastAsia="黑体" w:cs="宋体"/>
          <w:bCs/>
          <w:color w:val="222222"/>
          <w:kern w:val="36"/>
          <w:sz w:val="32"/>
          <w:szCs w:val="32"/>
        </w:rPr>
        <w:t>第一部分</w:t>
      </w:r>
      <w:r>
        <w:rPr>
          <w:rFonts w:hint="eastAsia" w:ascii="宋体" w:hAnsi="宋体" w:eastAsia="宋体" w:cs="宋体"/>
          <w:bCs/>
          <w:color w:val="222222"/>
          <w:kern w:val="36"/>
          <w:sz w:val="32"/>
          <w:szCs w:val="32"/>
        </w:rPr>
        <w:t> </w:t>
      </w:r>
      <w:r>
        <w:rPr>
          <w:rFonts w:hint="eastAsia" w:ascii="黑体" w:hAnsi="黑体" w:eastAsia="黑体" w:cs="黑体"/>
          <w:bCs/>
          <w:color w:val="222222"/>
          <w:kern w:val="36"/>
          <w:sz w:val="32"/>
          <w:szCs w:val="32"/>
        </w:rPr>
        <w:t xml:space="preserve"> </w:t>
      </w:r>
      <w:r>
        <w:rPr>
          <w:rFonts w:hint="eastAsia" w:ascii="黑体" w:hAnsi="黑体" w:eastAsia="黑体" w:cs="宋体"/>
          <w:bCs/>
          <w:color w:val="222222"/>
          <w:kern w:val="36"/>
          <w:sz w:val="32"/>
          <w:szCs w:val="32"/>
        </w:rPr>
        <w:t>调兵山市</w:t>
      </w:r>
      <w:r>
        <w:rPr>
          <w:rFonts w:hint="eastAsia" w:ascii="黑体" w:hAnsi="黑体" w:eastAsia="黑体" w:cs="宋体"/>
          <w:bCs/>
          <w:color w:val="222222"/>
          <w:kern w:val="36"/>
          <w:sz w:val="32"/>
          <w:szCs w:val="32"/>
          <w:lang w:eastAsia="zh-CN"/>
        </w:rPr>
        <w:t>城市发展服务中心</w:t>
      </w:r>
      <w:r>
        <w:rPr>
          <w:rFonts w:hint="eastAsia" w:ascii="黑体" w:hAnsi="黑体" w:eastAsia="黑体" w:cs="宋体"/>
          <w:bCs/>
          <w:color w:val="222222"/>
          <w:kern w:val="36"/>
          <w:sz w:val="32"/>
          <w:szCs w:val="32"/>
        </w:rPr>
        <w:t>概况</w:t>
      </w:r>
    </w:p>
    <w:p>
      <w:pPr>
        <w:widowControl/>
        <w:numPr>
          <w:ilvl w:val="0"/>
          <w:numId w:val="1"/>
        </w:numPr>
        <w:adjustRightInd w:val="0"/>
        <w:spacing w:before="100" w:beforeAutospacing="1" w:after="100" w:afterAutospacing="1" w:line="560" w:lineRule="exact"/>
        <w:ind w:left="640" w:leftChars="0" w:firstLine="0" w:firstLineChars="0"/>
        <w:rPr>
          <w:rFonts w:hint="eastAsia" w:ascii="仿宋_GB2312" w:hAnsi="宋体" w:eastAsia="仿宋_GB2312" w:cs="宋体"/>
          <w:bCs/>
          <w:color w:val="222222"/>
          <w:kern w:val="36"/>
          <w:sz w:val="32"/>
          <w:szCs w:val="32"/>
        </w:rPr>
      </w:pPr>
      <w:r>
        <w:rPr>
          <w:rFonts w:hint="eastAsia" w:ascii="仿宋_GB2312" w:hAnsi="宋体" w:eastAsia="仿宋_GB2312" w:cs="宋体"/>
          <w:bCs/>
          <w:color w:val="222222"/>
          <w:kern w:val="36"/>
          <w:sz w:val="32"/>
          <w:szCs w:val="32"/>
        </w:rPr>
        <w:t>主要职责</w:t>
      </w:r>
    </w:p>
    <w:p>
      <w:pPr>
        <w:rPr>
          <w:rFonts w:hint="eastAsia"/>
          <w:sz w:val="32"/>
          <w:szCs w:val="32"/>
        </w:rPr>
      </w:pPr>
      <w:r>
        <w:rPr>
          <w:rFonts w:hint="eastAsia"/>
          <w:sz w:val="32"/>
          <w:szCs w:val="32"/>
        </w:rPr>
        <w:t>(一)为招标投标工作及工程质量监督工作提供服务。(二)为房产管理工作提供服务。(三)为全市供水工作提供服务。(四)为城市供热工作提供服务。</w:t>
      </w:r>
    </w:p>
    <w:p>
      <w:pPr>
        <w:rPr>
          <w:rFonts w:hint="eastAsia"/>
          <w:sz w:val="32"/>
          <w:szCs w:val="32"/>
        </w:rPr>
      </w:pPr>
      <w:r>
        <w:rPr>
          <w:rFonts w:hint="eastAsia"/>
          <w:sz w:val="32"/>
          <w:szCs w:val="32"/>
        </w:rPr>
        <w:t>(五)为全市建设工程监理等工作提供服务。</w:t>
      </w:r>
    </w:p>
    <w:p>
      <w:pPr>
        <w:rPr>
          <w:rFonts w:hint="eastAsia"/>
          <w:sz w:val="32"/>
          <w:szCs w:val="32"/>
        </w:rPr>
      </w:pPr>
      <w:r>
        <w:rPr>
          <w:rFonts w:hint="eastAsia"/>
          <w:sz w:val="32"/>
          <w:szCs w:val="32"/>
        </w:rPr>
        <w:t>(六)为市政改造及开发区配套工程，新型建筑材料推广应用，公益性建设规划及质量管理工作提供服务。</w:t>
      </w:r>
    </w:p>
    <w:p>
      <w:pPr>
        <w:rPr>
          <w:rFonts w:hint="eastAsia"/>
          <w:sz w:val="32"/>
          <w:szCs w:val="32"/>
        </w:rPr>
      </w:pPr>
      <w:r>
        <w:rPr>
          <w:rFonts w:hint="eastAsia"/>
          <w:sz w:val="32"/>
          <w:szCs w:val="32"/>
        </w:rPr>
        <w:t>(七)受住建局委托，对住房保障相关政策进行监督检查。对住房建设规划进行监督检查;承担规范房地产市场秩序、监督管理房地产市场的责任，对房地产市场监管政策监督执行，对房屋征收拆迁的规章制度监督执行并监督执法;负责城市基础设施建设项目的监督检查，对勘察设计、工程建设、工程质量监督和检测、建设监理、工程造价及相关社会中介组织管理的有关政策进行监督实施，落实全市房屋和市政工程招投标监督管理政策、规章制度并监督实施，组织市房屋和市政工程相关项目招投标活动的监督执法;会同文物主管部门负责历史文化名城(镇、村)的保护和监督管理工作;受住建局委托，承担建筑工程质量安全监管的责任，对建筑工程质量、建筑安全生产和竣工验收备案的政策、规章制度进行监督执行，组织或参与建筑工程重大质量、安全事故的调查处理;落实城镇燃气管理、城市供水，供热管理、建筑业企业资质管理、建筑市场管理等监督管理政策、规章制度并监督执法。</w:t>
      </w:r>
    </w:p>
    <w:p>
      <w:pPr>
        <w:rPr>
          <w:rFonts w:hint="eastAsia"/>
          <w:sz w:val="32"/>
          <w:szCs w:val="32"/>
        </w:rPr>
      </w:pPr>
      <w:r>
        <w:rPr>
          <w:rFonts w:hint="eastAsia"/>
          <w:sz w:val="32"/>
          <w:szCs w:val="32"/>
        </w:rPr>
        <w:t>(八)负责城建档案的收集、整理、保管及查询利用等工作。(九)负责市区道路的管理与养护，市区路灯的维修管理，市区排水管线维修维护，污水泵站维修维护，为月亮湖日常管理及巡查工作提供服务。</w:t>
      </w:r>
    </w:p>
    <w:p>
      <w:pPr>
        <w:rPr>
          <w:rFonts w:hint="eastAsia"/>
          <w:sz w:val="32"/>
          <w:szCs w:val="32"/>
        </w:rPr>
      </w:pPr>
      <w:r>
        <w:rPr>
          <w:rFonts w:hint="eastAsia"/>
          <w:sz w:val="32"/>
          <w:szCs w:val="32"/>
        </w:rPr>
        <w:t>(十)为房屋征收工作提供服务。</w:t>
      </w:r>
    </w:p>
    <w:p>
      <w:pPr>
        <w:rPr>
          <w:rFonts w:hint="eastAsia"/>
          <w:sz w:val="32"/>
          <w:szCs w:val="32"/>
        </w:rPr>
      </w:pPr>
      <w:r>
        <w:rPr>
          <w:rFonts w:hint="eastAsia"/>
          <w:sz w:val="32"/>
          <w:szCs w:val="32"/>
        </w:rPr>
        <w:t>(十一)负责城市绿地系统规划，城市公园工程设计，城市广场工程设计，风景园林工程设计，公园设施维护与管理，公园绿化、卫生、防火。</w:t>
      </w:r>
    </w:p>
    <w:p>
      <w:pPr>
        <w:rPr>
          <w:rFonts w:hint="eastAsia"/>
          <w:sz w:val="32"/>
          <w:szCs w:val="32"/>
        </w:rPr>
      </w:pPr>
      <w:r>
        <w:rPr>
          <w:rFonts w:hint="eastAsia"/>
          <w:sz w:val="32"/>
          <w:szCs w:val="32"/>
        </w:rPr>
        <w:t>(十二)负责维护城市环境卫生工作，负责城市环境卫生设施运营和维护工作，负责调兵山市各街路、大明、开发区、北工业园区等各街路清扫保洁及垃圾清运工作，负责全市专项除雪及积雪清运工作。</w:t>
      </w:r>
    </w:p>
    <w:p>
      <w:pPr>
        <w:rPr>
          <w:rFonts w:hint="eastAsia"/>
          <w:sz w:val="32"/>
          <w:szCs w:val="32"/>
        </w:rPr>
      </w:pPr>
      <w:r>
        <w:rPr>
          <w:rFonts w:hint="eastAsia"/>
          <w:sz w:val="32"/>
          <w:szCs w:val="32"/>
        </w:rPr>
        <w:t>(十三)承担主管部门交办的其他工作。</w:t>
      </w:r>
    </w:p>
    <w:p>
      <w:pPr>
        <w:rPr>
          <w:rFonts w:hint="eastAsia"/>
          <w:sz w:val="32"/>
          <w:szCs w:val="32"/>
        </w:rPr>
      </w:pPr>
    </w:p>
    <w:p>
      <w:pPr>
        <w:widowControl/>
        <w:numPr>
          <w:numId w:val="0"/>
        </w:numPr>
        <w:adjustRightInd w:val="0"/>
        <w:spacing w:before="100" w:beforeAutospacing="1" w:after="100" w:afterAutospacing="1" w:line="560" w:lineRule="exact"/>
        <w:ind w:left="640" w:leftChars="0"/>
        <w:rPr>
          <w:rFonts w:hint="eastAsia" w:ascii="仿宋_GB2312" w:hAnsi="宋体" w:eastAsia="仿宋_GB2312" w:cs="宋体"/>
          <w:bCs/>
          <w:color w:val="222222"/>
          <w:kern w:val="36"/>
          <w:sz w:val="32"/>
          <w:szCs w:val="32"/>
        </w:rPr>
      </w:pPr>
    </w:p>
    <w:p>
      <w:pPr>
        <w:widowControl/>
        <w:numPr>
          <w:ilvl w:val="0"/>
          <w:numId w:val="1"/>
        </w:numPr>
        <w:adjustRightInd w:val="0"/>
        <w:spacing w:before="100" w:beforeAutospacing="1" w:after="100" w:afterAutospacing="1" w:line="560" w:lineRule="exact"/>
        <w:ind w:left="640" w:leftChars="0" w:firstLine="0" w:firstLineChars="0"/>
        <w:rPr>
          <w:rFonts w:hint="eastAsia" w:ascii="仿宋_GB2312" w:hAnsi="宋体" w:eastAsia="仿宋_GB2312" w:cs="宋体"/>
          <w:bCs/>
          <w:color w:val="222222"/>
          <w:kern w:val="36"/>
          <w:sz w:val="32"/>
          <w:szCs w:val="32"/>
        </w:rPr>
      </w:pPr>
      <w:r>
        <w:rPr>
          <w:rFonts w:hint="eastAsia" w:ascii="仿宋_GB2312" w:hAnsi="宋体" w:eastAsia="仿宋_GB2312" w:cs="宋体"/>
          <w:bCs/>
          <w:color w:val="222222"/>
          <w:kern w:val="36"/>
          <w:sz w:val="32"/>
          <w:szCs w:val="32"/>
        </w:rPr>
        <w:t>部门决算单位构成</w:t>
      </w:r>
    </w:p>
    <w:p>
      <w:pPr>
        <w:adjustRightInd w:val="0"/>
        <w:snapToGrid w:val="0"/>
        <w:spacing w:line="560" w:lineRule="exact"/>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共有</w:t>
      </w:r>
      <w:r>
        <w:rPr>
          <w:rFonts w:ascii="仿宋_GB2312" w:hAnsi="宋体" w:eastAsia="仿宋_GB2312" w:cs="宋体"/>
          <w:bCs/>
          <w:kern w:val="36"/>
          <w:sz w:val="32"/>
          <w:szCs w:val="32"/>
        </w:rPr>
        <w:t>1</w:t>
      </w:r>
      <w:r>
        <w:rPr>
          <w:rFonts w:hint="eastAsia" w:ascii="仿宋_GB2312" w:hAnsi="宋体" w:eastAsia="仿宋_GB2312" w:cs="宋体"/>
          <w:bCs/>
          <w:kern w:val="36"/>
          <w:sz w:val="32"/>
          <w:szCs w:val="32"/>
        </w:rPr>
        <w:t>家预算单位，其中行政单位0家，事业单位1家。</w:t>
      </w:r>
    </w:p>
    <w:p>
      <w:pPr>
        <w:adjustRightInd w:val="0"/>
        <w:snapToGrid w:val="0"/>
        <w:spacing w:line="560" w:lineRule="exact"/>
        <w:ind w:firstLine="640" w:firstLineChars="200"/>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纳入调兵山市城市发展服务中心20</w:t>
      </w:r>
      <w:r>
        <w:rPr>
          <w:rFonts w:ascii="仿宋_GB2312" w:hAnsi="宋体" w:eastAsia="仿宋_GB2312" w:cs="宋体"/>
          <w:bCs/>
          <w:kern w:val="36"/>
          <w:sz w:val="32"/>
          <w:szCs w:val="32"/>
        </w:rPr>
        <w:t>22</w:t>
      </w:r>
      <w:r>
        <w:rPr>
          <w:rFonts w:hint="eastAsia" w:ascii="仿宋_GB2312" w:hAnsi="宋体" w:eastAsia="仿宋_GB2312" w:cs="宋体"/>
          <w:bCs/>
          <w:kern w:val="36"/>
          <w:sz w:val="32"/>
          <w:szCs w:val="32"/>
        </w:rPr>
        <w:t>年部门决算编制范围的二级预算单位包括：</w:t>
      </w:r>
    </w:p>
    <w:p>
      <w:pPr>
        <w:numPr>
          <w:ilvl w:val="0"/>
          <w:numId w:val="2"/>
        </w:numPr>
        <w:adjustRightInd w:val="0"/>
        <w:snapToGrid w:val="0"/>
        <w:spacing w:line="560" w:lineRule="exact"/>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调兵山市城市发展服务中心</w:t>
      </w:r>
      <w:r>
        <w:rPr>
          <w:rFonts w:ascii="Calibri" w:hAnsi="Calibri" w:eastAsia="仿宋_GB2312" w:cs="宋体"/>
          <w:bCs/>
          <w:kern w:val="36"/>
          <w:sz w:val="32"/>
          <w:szCs w:val="32"/>
        </w:rPr>
        <w:t>(</w:t>
      </w:r>
      <w:r>
        <w:rPr>
          <w:rFonts w:hint="eastAsia" w:ascii="仿宋_GB2312" w:hAnsi="宋体" w:eastAsia="仿宋_GB2312" w:cs="宋体"/>
          <w:bCs/>
          <w:kern w:val="36"/>
          <w:sz w:val="32"/>
          <w:szCs w:val="32"/>
        </w:rPr>
        <w:t>本级</w:t>
      </w:r>
      <w:r>
        <w:rPr>
          <w:rFonts w:ascii="Calibri" w:hAnsi="Calibri" w:eastAsia="仿宋_GB2312" w:cs="宋体"/>
          <w:bCs/>
          <w:kern w:val="36"/>
          <w:sz w:val="32"/>
          <w:szCs w:val="32"/>
        </w:rPr>
        <w:t>)</w:t>
      </w:r>
    </w:p>
    <w:p>
      <w:pPr>
        <w:widowControl/>
        <w:adjustRightInd w:val="0"/>
        <w:spacing w:before="100" w:beforeAutospacing="1" w:after="100" w:afterAutospacing="1" w:line="560" w:lineRule="exact"/>
        <w:rPr>
          <w:rFonts w:hint="eastAsia" w:ascii="黑体" w:hAnsi="黑体" w:eastAsia="黑体" w:cs="黑体"/>
          <w:b/>
          <w:bCs w:val="0"/>
          <w:color w:val="222222"/>
          <w:kern w:val="0"/>
          <w:sz w:val="32"/>
          <w:szCs w:val="32"/>
        </w:rPr>
      </w:pPr>
      <w:r>
        <w:rPr>
          <w:rFonts w:hint="eastAsia" w:ascii="黑体" w:hAnsi="黑体" w:eastAsia="黑体" w:cs="宋体"/>
          <w:bCs/>
          <w:color w:val="222222"/>
          <w:kern w:val="36"/>
          <w:sz w:val="32"/>
          <w:szCs w:val="32"/>
        </w:rPr>
        <w:t>第二部分</w:t>
      </w:r>
      <w:r>
        <w:rPr>
          <w:rFonts w:hint="eastAsia" w:ascii="宋体" w:hAnsi="宋体" w:eastAsia="宋体" w:cs="宋体"/>
          <w:bCs/>
          <w:color w:val="222222"/>
          <w:kern w:val="36"/>
          <w:sz w:val="32"/>
          <w:szCs w:val="32"/>
        </w:rPr>
        <w:t> </w:t>
      </w:r>
      <w:r>
        <w:rPr>
          <w:rFonts w:hint="eastAsia" w:ascii="黑体" w:hAnsi="黑体" w:eastAsia="黑体" w:cs="黑体"/>
          <w:bCs/>
          <w:color w:val="222222"/>
          <w:kern w:val="36"/>
          <w:sz w:val="32"/>
          <w:szCs w:val="32"/>
        </w:rPr>
        <w:t xml:space="preserve"> </w:t>
      </w:r>
      <w:r>
        <w:rPr>
          <w:rFonts w:hint="eastAsia" w:ascii="黑体" w:hAnsi="黑体" w:eastAsia="黑体" w:cs="黑体"/>
          <w:b/>
          <w:bCs w:val="0"/>
          <w:kern w:val="36"/>
          <w:sz w:val="32"/>
          <w:szCs w:val="32"/>
        </w:rPr>
        <w:t>调兵山市城市发展服务中心</w:t>
      </w:r>
      <w:r>
        <w:rPr>
          <w:rFonts w:hint="eastAsia" w:ascii="黑体" w:hAnsi="黑体" w:eastAsia="黑体" w:cs="黑体"/>
          <w:b/>
          <w:bCs w:val="0"/>
          <w:color w:val="222222"/>
          <w:kern w:val="36"/>
          <w:sz w:val="32"/>
          <w:szCs w:val="32"/>
        </w:rPr>
        <w:t>2022年部门决算表</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一、2022年度收入支出决算总表</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二、2022年度收入决算表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三、2022年度支出决算表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四、2022年度财政拨款收入支出决算表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五、2022年度一般公共预算财政拨款收入支出决算表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六、2022年度一般公共预算财政拨款基本支出决算表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七、2022年度政府性基金财政拨款收入支出决算表</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八、2022年度“三公”经费支出情况表</w:t>
      </w:r>
    </w:p>
    <w:p>
      <w:pPr>
        <w:widowControl/>
        <w:adjustRightInd w:val="0"/>
        <w:spacing w:before="100" w:beforeAutospacing="1" w:after="100" w:afterAutospacing="1" w:line="560" w:lineRule="exact"/>
        <w:rPr>
          <w:rFonts w:hint="eastAsia" w:ascii="黑体" w:hAnsi="黑体" w:eastAsia="黑体" w:cs="黑体"/>
          <w:b/>
          <w:bCs w:val="0"/>
          <w:color w:val="222222"/>
          <w:kern w:val="0"/>
          <w:sz w:val="32"/>
          <w:szCs w:val="32"/>
        </w:rPr>
      </w:pPr>
      <w:r>
        <w:rPr>
          <w:rFonts w:hint="eastAsia" w:ascii="仿宋_GB2312" w:hAnsi="宋体" w:eastAsia="仿宋_GB2312" w:cs="宋体"/>
          <w:bCs/>
          <w:color w:val="222222"/>
          <w:kern w:val="36"/>
          <w:sz w:val="32"/>
          <w:szCs w:val="32"/>
        </w:rPr>
        <w:t>　</w:t>
      </w:r>
      <w:r>
        <w:rPr>
          <w:rFonts w:hint="eastAsia" w:ascii="黑体" w:hAnsi="黑体" w:eastAsia="黑体" w:cs="宋体"/>
          <w:bCs/>
          <w:color w:val="222222"/>
          <w:kern w:val="36"/>
          <w:sz w:val="32"/>
          <w:szCs w:val="32"/>
        </w:rPr>
        <w:t>第三部分</w:t>
      </w:r>
      <w:r>
        <w:rPr>
          <w:rFonts w:hint="eastAsia" w:ascii="黑体" w:hAnsi="黑体" w:eastAsia="黑体" w:cs="黑体"/>
          <w:b/>
          <w:bCs w:val="0"/>
          <w:kern w:val="36"/>
          <w:sz w:val="32"/>
          <w:szCs w:val="32"/>
        </w:rPr>
        <w:t>调兵山市城市发展服务中心</w:t>
      </w:r>
      <w:r>
        <w:rPr>
          <w:rFonts w:hint="eastAsia" w:ascii="黑体" w:hAnsi="黑体" w:eastAsia="黑体" w:cs="黑体"/>
          <w:b/>
          <w:bCs w:val="0"/>
          <w:color w:val="222222"/>
          <w:kern w:val="36"/>
          <w:sz w:val="32"/>
          <w:szCs w:val="32"/>
        </w:rPr>
        <w:t>2022年部门决算表</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黑体" w:hAnsi="黑体" w:eastAsia="黑体" w:cs="宋体"/>
          <w:bCs/>
          <w:color w:val="222222"/>
          <w:kern w:val="36"/>
          <w:sz w:val="32"/>
          <w:szCs w:val="32"/>
        </w:rPr>
        <w:t>2022年部门决算情况说明</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第四部分</w:t>
      </w:r>
      <w:r>
        <w:rPr>
          <w:rFonts w:hint="eastAsia" w:ascii="宋体" w:hAnsi="宋体" w:eastAsia="宋体" w:cs="宋体"/>
          <w:bCs/>
          <w:color w:val="222222"/>
          <w:kern w:val="36"/>
          <w:sz w:val="32"/>
          <w:szCs w:val="32"/>
        </w:rPr>
        <w:t> </w:t>
      </w:r>
      <w:r>
        <w:rPr>
          <w:rFonts w:hint="eastAsia" w:ascii="黑体" w:hAnsi="黑体" w:eastAsia="黑体" w:cs="黑体"/>
          <w:bCs/>
          <w:color w:val="222222"/>
          <w:kern w:val="36"/>
          <w:sz w:val="32"/>
          <w:szCs w:val="32"/>
        </w:rPr>
        <w:t xml:space="preserve"> </w:t>
      </w:r>
      <w:r>
        <w:rPr>
          <w:rFonts w:hint="eastAsia" w:ascii="黑体" w:hAnsi="黑体" w:eastAsia="黑体" w:cs="宋体"/>
          <w:bCs/>
          <w:color w:val="222222"/>
          <w:kern w:val="36"/>
          <w:sz w:val="32"/>
          <w:szCs w:val="32"/>
        </w:rPr>
        <w:t>名词解释</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宋体" w:hAnsi="宋体" w:eastAsia="宋体" w:cs="宋体"/>
          <w:b/>
          <w:bCs/>
          <w:color w:val="222222"/>
          <w:kern w:val="36"/>
          <w:sz w:val="32"/>
          <w:szCs w:val="32"/>
        </w:rPr>
        <w:t xml:space="preserve">第一部分 </w:t>
      </w:r>
      <w:r>
        <w:rPr>
          <w:rFonts w:hint="eastAsia" w:ascii="黑体" w:hAnsi="黑体" w:eastAsia="黑体" w:cs="黑体"/>
          <w:b/>
          <w:bCs w:val="0"/>
          <w:kern w:val="36"/>
          <w:sz w:val="32"/>
          <w:szCs w:val="32"/>
        </w:rPr>
        <w:t>调兵山市城市发展服务中心</w:t>
      </w:r>
      <w:r>
        <w:rPr>
          <w:rFonts w:hint="eastAsia" w:ascii="宋体" w:hAnsi="宋体" w:eastAsia="宋体" w:cs="宋体"/>
          <w:b/>
          <w:bCs/>
          <w:color w:val="222222"/>
          <w:kern w:val="36"/>
          <w:sz w:val="32"/>
          <w:szCs w:val="32"/>
        </w:rPr>
        <w:t>概况</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一、主要职责</w:t>
      </w:r>
    </w:p>
    <w:p>
      <w:pPr>
        <w:rPr>
          <w:rFonts w:hint="eastAsia"/>
          <w:b/>
          <w:bCs/>
          <w:sz w:val="32"/>
          <w:szCs w:val="32"/>
        </w:rPr>
      </w:pPr>
      <w:r>
        <w:rPr>
          <w:rFonts w:hint="eastAsia"/>
          <w:b/>
          <w:bCs/>
          <w:sz w:val="32"/>
          <w:szCs w:val="32"/>
        </w:rPr>
        <w:t>一、主要职责</w:t>
      </w:r>
    </w:p>
    <w:p>
      <w:pPr>
        <w:rPr>
          <w:rFonts w:hint="eastAsia"/>
          <w:sz w:val="32"/>
          <w:szCs w:val="32"/>
        </w:rPr>
      </w:pPr>
      <w:r>
        <w:rPr>
          <w:rFonts w:hint="eastAsia"/>
          <w:sz w:val="32"/>
          <w:szCs w:val="32"/>
        </w:rPr>
        <w:t>(一)为招标投标工作及工程质量监督工作提供服务。(二)为房产管理工作提供服务。(三)为全市供水工作提供服务。(四)为城市供热工作提供服务。</w:t>
      </w:r>
    </w:p>
    <w:p>
      <w:pPr>
        <w:rPr>
          <w:rFonts w:hint="eastAsia"/>
          <w:sz w:val="32"/>
          <w:szCs w:val="32"/>
        </w:rPr>
      </w:pPr>
      <w:r>
        <w:rPr>
          <w:rFonts w:hint="eastAsia"/>
          <w:sz w:val="32"/>
          <w:szCs w:val="32"/>
        </w:rPr>
        <w:t>(五)为全市建设工程监理等工作提供服务。</w:t>
      </w:r>
    </w:p>
    <w:p>
      <w:pPr>
        <w:rPr>
          <w:rFonts w:hint="eastAsia"/>
          <w:sz w:val="32"/>
          <w:szCs w:val="32"/>
        </w:rPr>
      </w:pPr>
      <w:r>
        <w:rPr>
          <w:rFonts w:hint="eastAsia"/>
          <w:sz w:val="32"/>
          <w:szCs w:val="32"/>
        </w:rPr>
        <w:t>(六)为市政改造及开发区配套工程，新型建筑材料推广应用，公益性建设规划及质量管理工作提供服务。</w:t>
      </w:r>
    </w:p>
    <w:p>
      <w:pPr>
        <w:rPr>
          <w:rFonts w:hint="eastAsia"/>
          <w:sz w:val="32"/>
          <w:szCs w:val="32"/>
        </w:rPr>
      </w:pPr>
      <w:r>
        <w:rPr>
          <w:rFonts w:hint="eastAsia"/>
          <w:sz w:val="32"/>
          <w:szCs w:val="32"/>
        </w:rPr>
        <w:t>(七)受住建局委托，对住房保障相关政策进行监督检查。对住房建设规划进行监督检查;承担规范房地产市场秩序、监督管理房地产市场的责任，对房地产市场监管政策监督执行，对房屋征收拆迁的规章制度监督执行并监督执法;负责城市基础设施建设项目的监督检查，对勘察设计、工程建设、工程质量监督和检测、建设监理、工程造价及相关社会中介组织管理的有关政策进行监督实施，落实全市房屋和市政工程招投标监督管理政策、规章制度并监督实施，组织市房屋和市政工程相关项目招投标活动的监督执法;会同文物主管部门负责历史文化名城(镇、村)的保护和监督管理工作;受住建局委托，承担建筑工程质量安全监管的责任，对建筑工程质量、建筑安全生产和竣工验收备案的政策、规章制度进行监督执行，组织或参与建筑工程重大质量、安全事故的调查处理;落实城镇燃气管理、城市供水，供热管理、建筑业企业资质管理、建筑市场管理等监督管理政策、规章制度并监督执法。</w:t>
      </w:r>
    </w:p>
    <w:p>
      <w:pPr>
        <w:rPr>
          <w:rFonts w:hint="eastAsia"/>
          <w:sz w:val="32"/>
          <w:szCs w:val="32"/>
        </w:rPr>
      </w:pPr>
      <w:r>
        <w:rPr>
          <w:rFonts w:hint="eastAsia"/>
          <w:sz w:val="32"/>
          <w:szCs w:val="32"/>
        </w:rPr>
        <w:t>(八)负责城建档案的收集、整理、保管及查询利用等工作。(九)负责市区道路的管理与养护，市区路灯的维修管理，市区排水管线维修维护，污水泵站维修维护，为月亮湖日常管理及巡查工作提供服务。</w:t>
      </w:r>
    </w:p>
    <w:p>
      <w:pPr>
        <w:rPr>
          <w:rFonts w:hint="eastAsia"/>
          <w:sz w:val="32"/>
          <w:szCs w:val="32"/>
        </w:rPr>
      </w:pPr>
      <w:r>
        <w:rPr>
          <w:rFonts w:hint="eastAsia"/>
          <w:sz w:val="32"/>
          <w:szCs w:val="32"/>
        </w:rPr>
        <w:t>(十)为房屋征收工作提供服务。</w:t>
      </w:r>
    </w:p>
    <w:p>
      <w:pPr>
        <w:rPr>
          <w:rFonts w:hint="eastAsia"/>
          <w:sz w:val="32"/>
          <w:szCs w:val="32"/>
        </w:rPr>
      </w:pPr>
      <w:r>
        <w:rPr>
          <w:rFonts w:hint="eastAsia"/>
          <w:sz w:val="32"/>
          <w:szCs w:val="32"/>
        </w:rPr>
        <w:t>(十一)负责城市绿地系统规划，城市公园工程设计，城市广场工程设计，风景园林工程设计，公园设施维护与管理，公园绿化、卫生、防火。</w:t>
      </w:r>
    </w:p>
    <w:p>
      <w:pPr>
        <w:rPr>
          <w:rFonts w:hint="eastAsia"/>
          <w:sz w:val="32"/>
          <w:szCs w:val="32"/>
        </w:rPr>
      </w:pPr>
      <w:r>
        <w:rPr>
          <w:rFonts w:hint="eastAsia"/>
          <w:sz w:val="32"/>
          <w:szCs w:val="32"/>
        </w:rPr>
        <w:t>(十二)负责维护城市环境卫生工作，负责城市环境卫生设施运营和维护工作，负责调兵山市各街路、大明、开发区、北工业园区等各街路清扫保洁及垃圾清运工作，负责全市专项除雪及积雪清运工作。</w:t>
      </w:r>
    </w:p>
    <w:p>
      <w:pPr>
        <w:rPr>
          <w:rFonts w:hint="eastAsia"/>
          <w:sz w:val="32"/>
          <w:szCs w:val="32"/>
        </w:rPr>
      </w:pPr>
      <w:r>
        <w:rPr>
          <w:rFonts w:hint="eastAsia"/>
          <w:sz w:val="32"/>
          <w:szCs w:val="32"/>
        </w:rPr>
        <w:t>(十三)承担主管部门交办的其他工作。</w:t>
      </w:r>
    </w:p>
    <w:p>
      <w:pPr>
        <w:rPr>
          <w:rFonts w:hint="eastAsia"/>
          <w:sz w:val="32"/>
          <w:szCs w:val="32"/>
        </w:rPr>
      </w:pPr>
    </w:p>
    <w:p>
      <w:pPr>
        <w:rPr>
          <w:rFonts w:hint="eastAsia"/>
          <w:b/>
          <w:bCs/>
          <w:sz w:val="32"/>
          <w:szCs w:val="32"/>
        </w:rPr>
      </w:pPr>
      <w:r>
        <w:rPr>
          <w:rFonts w:hint="eastAsia"/>
          <w:b/>
          <w:bCs/>
          <w:sz w:val="32"/>
          <w:szCs w:val="32"/>
        </w:rPr>
        <w:t>二、内设机构及分支机构</w:t>
      </w:r>
    </w:p>
    <w:p>
      <w:pPr>
        <w:rPr>
          <w:rFonts w:hint="eastAsia"/>
          <w:sz w:val="32"/>
          <w:szCs w:val="32"/>
        </w:rPr>
      </w:pPr>
      <w:r>
        <w:rPr>
          <w:rFonts w:hint="eastAsia"/>
          <w:sz w:val="32"/>
          <w:szCs w:val="32"/>
        </w:rPr>
        <w:t>(一)内设机构</w:t>
      </w:r>
    </w:p>
    <w:p>
      <w:pPr>
        <w:rPr>
          <w:rFonts w:hint="eastAsia"/>
          <w:sz w:val="32"/>
          <w:szCs w:val="32"/>
        </w:rPr>
      </w:pPr>
      <w:r>
        <w:rPr>
          <w:rFonts w:hint="eastAsia"/>
          <w:sz w:val="32"/>
          <w:szCs w:val="32"/>
        </w:rPr>
        <w:t>根据主要职责，调兵山市城市发展服务中心设9个内设机构。</w:t>
      </w:r>
    </w:p>
    <w:p>
      <w:pPr>
        <w:rPr>
          <w:rFonts w:hint="eastAsia"/>
          <w:sz w:val="32"/>
          <w:szCs w:val="32"/>
        </w:rPr>
      </w:pPr>
      <w:r>
        <w:rPr>
          <w:rFonts w:hint="eastAsia"/>
          <w:sz w:val="32"/>
          <w:szCs w:val="32"/>
        </w:rPr>
        <w:t>1.综合办公室</w:t>
      </w:r>
    </w:p>
    <w:p>
      <w:pPr>
        <w:rPr>
          <w:rFonts w:hint="eastAsia"/>
          <w:sz w:val="32"/>
          <w:szCs w:val="32"/>
        </w:rPr>
      </w:pPr>
      <w:r>
        <w:rPr>
          <w:rFonts w:hint="eastAsia"/>
          <w:sz w:val="32"/>
          <w:szCs w:val="32"/>
        </w:rPr>
        <w:t>负责党务、日常文电、会务、机要及财务、固定资产管理和后勤管理;负责机构编制、单位人员工资、岗位职务调整、绩效考评和人事档案管理、离退休干部服务等工作。</w:t>
      </w:r>
    </w:p>
    <w:p>
      <w:pPr>
        <w:rPr>
          <w:rFonts w:hint="eastAsia"/>
          <w:sz w:val="32"/>
          <w:szCs w:val="32"/>
        </w:rPr>
      </w:pPr>
      <w:r>
        <w:rPr>
          <w:rFonts w:hint="eastAsia"/>
          <w:sz w:val="32"/>
          <w:szCs w:val="32"/>
        </w:rPr>
        <w:t>人员编制8名，主任职数1名。</w:t>
      </w:r>
    </w:p>
    <w:p>
      <w:pPr>
        <w:rPr>
          <w:rFonts w:hint="eastAsia"/>
          <w:sz w:val="32"/>
          <w:szCs w:val="32"/>
        </w:rPr>
      </w:pPr>
      <w:r>
        <w:rPr>
          <w:rFonts w:hint="eastAsia"/>
          <w:sz w:val="32"/>
          <w:szCs w:val="32"/>
        </w:rPr>
        <w:t>2.</w:t>
      </w:r>
      <w:r>
        <w:rPr>
          <w:rFonts w:hint="eastAsia"/>
          <w:sz w:val="32"/>
          <w:szCs w:val="32"/>
          <w:lang w:eastAsia="zh-CN"/>
        </w:rPr>
        <w:t>房</w:t>
      </w:r>
      <w:r>
        <w:rPr>
          <w:rFonts w:hint="eastAsia"/>
          <w:sz w:val="32"/>
          <w:szCs w:val="32"/>
        </w:rPr>
        <w:t>产服务办公室</w:t>
      </w:r>
    </w:p>
    <w:p>
      <w:pPr>
        <w:rPr>
          <w:rFonts w:hint="eastAsia"/>
          <w:sz w:val="32"/>
          <w:szCs w:val="32"/>
        </w:rPr>
      </w:pPr>
      <w:r>
        <w:rPr>
          <w:rFonts w:hint="eastAsia"/>
          <w:sz w:val="32"/>
          <w:szCs w:val="32"/>
        </w:rPr>
        <w:t>为房产管理工作提供服务。</w:t>
      </w:r>
    </w:p>
    <w:p>
      <w:pPr>
        <w:rPr>
          <w:rFonts w:hint="eastAsia"/>
          <w:sz w:val="32"/>
          <w:szCs w:val="32"/>
        </w:rPr>
      </w:pPr>
      <w:r>
        <w:rPr>
          <w:rFonts w:hint="eastAsia"/>
          <w:sz w:val="32"/>
          <w:szCs w:val="32"/>
        </w:rPr>
        <w:t>经费自理人员编制19名，主任职数1名。</w:t>
      </w:r>
    </w:p>
    <w:p>
      <w:pPr>
        <w:rPr>
          <w:rFonts w:hint="eastAsia"/>
          <w:sz w:val="32"/>
          <w:szCs w:val="32"/>
        </w:rPr>
      </w:pPr>
      <w:r>
        <w:rPr>
          <w:rFonts w:hint="eastAsia"/>
          <w:sz w:val="32"/>
          <w:szCs w:val="32"/>
        </w:rPr>
        <w:t>3.供水服务办公室</w:t>
      </w:r>
    </w:p>
    <w:p>
      <w:pPr>
        <w:rPr>
          <w:rFonts w:hint="eastAsia"/>
          <w:sz w:val="32"/>
          <w:szCs w:val="32"/>
        </w:rPr>
      </w:pPr>
      <w:r>
        <w:rPr>
          <w:rFonts w:hint="eastAsia"/>
          <w:sz w:val="32"/>
          <w:szCs w:val="32"/>
        </w:rPr>
        <w:t>为全市供水工作提供服务。</w:t>
      </w:r>
    </w:p>
    <w:p>
      <w:pPr>
        <w:rPr>
          <w:rFonts w:hint="eastAsia"/>
          <w:sz w:val="32"/>
          <w:szCs w:val="32"/>
        </w:rPr>
      </w:pPr>
      <w:r>
        <w:rPr>
          <w:rFonts w:hint="eastAsia"/>
          <w:sz w:val="32"/>
          <w:szCs w:val="32"/>
        </w:rPr>
        <w:t>经费自理人员编制25名，主任职数1名。</w:t>
      </w:r>
    </w:p>
    <w:p>
      <w:pPr>
        <w:rPr>
          <w:rFonts w:hint="eastAsia"/>
          <w:sz w:val="32"/>
          <w:szCs w:val="32"/>
        </w:rPr>
      </w:pPr>
      <w:r>
        <w:rPr>
          <w:rFonts w:hint="eastAsia"/>
          <w:sz w:val="32"/>
          <w:szCs w:val="32"/>
        </w:rPr>
        <w:t>4.城市供暖服务办公室</w:t>
      </w:r>
    </w:p>
    <w:p>
      <w:pPr>
        <w:rPr>
          <w:rFonts w:hint="eastAsia"/>
          <w:sz w:val="32"/>
          <w:szCs w:val="32"/>
        </w:rPr>
      </w:pPr>
      <w:r>
        <w:rPr>
          <w:rFonts w:hint="eastAsia"/>
          <w:sz w:val="32"/>
          <w:szCs w:val="32"/>
        </w:rPr>
        <w:t>为城市供热工作提供服务。调度全市供暖工作，处理供暖突发事件，协调和理顺供热方与用热方之间的关系，负责全市行政区域供热事业特许经营实施，并履行主管部门的责任。负责本级供热专项调节基金的归集和使用，开展城市供热宣传工作，及时掌握城市供热动态，受理用热方投诉，接收新闻舆论等社会监督。</w:t>
      </w:r>
    </w:p>
    <w:p>
      <w:pPr>
        <w:rPr>
          <w:rFonts w:hint="eastAsia"/>
          <w:sz w:val="32"/>
          <w:szCs w:val="32"/>
        </w:rPr>
      </w:pPr>
      <w:r>
        <w:rPr>
          <w:rFonts w:hint="eastAsia"/>
          <w:sz w:val="32"/>
          <w:szCs w:val="32"/>
        </w:rPr>
        <w:t>人员编制5名，主任职数1名。</w:t>
      </w:r>
    </w:p>
    <w:p>
      <w:pPr>
        <w:rPr>
          <w:rFonts w:hint="eastAsia"/>
          <w:sz w:val="32"/>
          <w:szCs w:val="32"/>
        </w:rPr>
      </w:pPr>
      <w:r>
        <w:rPr>
          <w:rFonts w:hint="eastAsia"/>
          <w:sz w:val="32"/>
          <w:szCs w:val="32"/>
        </w:rPr>
        <w:t>5.建设工程监理服务办公室</w:t>
      </w:r>
    </w:p>
    <w:p>
      <w:pPr>
        <w:rPr>
          <w:rFonts w:hint="eastAsia"/>
          <w:sz w:val="32"/>
          <w:szCs w:val="32"/>
        </w:rPr>
      </w:pPr>
      <w:r>
        <w:rPr>
          <w:rFonts w:hint="eastAsia"/>
          <w:sz w:val="32"/>
          <w:szCs w:val="32"/>
        </w:rPr>
        <w:t>为全市建设工程监理等工作提供服务。</w:t>
      </w:r>
    </w:p>
    <w:p>
      <w:pPr>
        <w:rPr>
          <w:rFonts w:hint="eastAsia"/>
          <w:sz w:val="32"/>
          <w:szCs w:val="32"/>
        </w:rPr>
      </w:pPr>
      <w:r>
        <w:rPr>
          <w:rFonts w:hint="eastAsia"/>
          <w:sz w:val="32"/>
          <w:szCs w:val="32"/>
        </w:rPr>
        <w:t>经费自理人员编制11名，主任职数1名。</w:t>
      </w:r>
    </w:p>
    <w:p>
      <w:pPr>
        <w:rPr>
          <w:rFonts w:hint="eastAsia"/>
          <w:sz w:val="32"/>
          <w:szCs w:val="32"/>
        </w:rPr>
      </w:pPr>
      <w:r>
        <w:rPr>
          <w:rFonts w:hint="eastAsia"/>
          <w:sz w:val="32"/>
          <w:szCs w:val="32"/>
        </w:rPr>
        <w:t>6.房屋开发服务办公室</w:t>
      </w:r>
    </w:p>
    <w:p>
      <w:pPr>
        <w:rPr>
          <w:rFonts w:hint="eastAsia"/>
          <w:sz w:val="32"/>
          <w:szCs w:val="32"/>
        </w:rPr>
      </w:pPr>
      <w:r>
        <w:rPr>
          <w:rFonts w:hint="eastAsia"/>
          <w:sz w:val="32"/>
          <w:szCs w:val="32"/>
        </w:rPr>
        <w:t>负责城市改造及开发区配套工程;新型建筑材料推广应用;公益性建设规划及质量管理工作。</w:t>
      </w:r>
    </w:p>
    <w:p>
      <w:pPr>
        <w:rPr>
          <w:rFonts w:hint="eastAsia"/>
          <w:sz w:val="32"/>
          <w:szCs w:val="32"/>
        </w:rPr>
      </w:pPr>
      <w:r>
        <w:rPr>
          <w:rFonts w:hint="eastAsia"/>
          <w:sz w:val="32"/>
          <w:szCs w:val="32"/>
        </w:rPr>
        <w:t>经费自理人员编制4名，主任职数1名。</w:t>
      </w:r>
    </w:p>
    <w:p>
      <w:pPr>
        <w:rPr>
          <w:rFonts w:hint="eastAsia"/>
          <w:sz w:val="32"/>
          <w:szCs w:val="32"/>
        </w:rPr>
      </w:pPr>
      <w:r>
        <w:rPr>
          <w:rFonts w:hint="eastAsia"/>
          <w:sz w:val="32"/>
          <w:szCs w:val="32"/>
        </w:rPr>
        <w:t>7.住房和城乡建设综合行政执法队</w:t>
      </w:r>
    </w:p>
    <w:p>
      <w:pPr>
        <w:rPr>
          <w:rFonts w:hint="eastAsia"/>
          <w:sz w:val="32"/>
          <w:szCs w:val="32"/>
        </w:rPr>
      </w:pPr>
      <w:r>
        <w:rPr>
          <w:rFonts w:hint="eastAsia"/>
          <w:sz w:val="32"/>
          <w:szCs w:val="32"/>
        </w:rPr>
        <w:t>受住建局委托，对住房保障相关政策进行监督检查。对住房建设规划进行监督检查;承担规范房地产市场秩序、监督管理房地产市场的责任，对房地产市场监管政策监督执行，对房屋征收拆迁的规章制度监督执行并监督执法;负责城市基础设施建设项目的监督检查，对勘察设计、工程建设、工程质量监督和检测、</w:t>
      </w:r>
    </w:p>
    <w:p>
      <w:pPr>
        <w:rPr>
          <w:rFonts w:hint="eastAsia"/>
          <w:sz w:val="32"/>
          <w:szCs w:val="32"/>
        </w:rPr>
      </w:pPr>
      <w:r>
        <w:rPr>
          <w:rFonts w:hint="eastAsia"/>
          <w:sz w:val="32"/>
          <w:szCs w:val="32"/>
        </w:rPr>
        <w:t>建设监理、工程造价及相关社会中介组织管理的有关政策进行监督实施，落实全市房屋和市政工程招投标监督管理政策、规章制</w:t>
      </w:r>
    </w:p>
    <w:p>
      <w:pPr>
        <w:rPr>
          <w:rFonts w:hint="eastAsia"/>
          <w:sz w:val="32"/>
          <w:szCs w:val="32"/>
        </w:rPr>
      </w:pPr>
      <w:r>
        <w:rPr>
          <w:rFonts w:hint="eastAsia"/>
          <w:sz w:val="32"/>
          <w:szCs w:val="32"/>
        </w:rPr>
        <w:t>度并监督实施，组织市房屋和市政工程相关项目招投标活动的监</w:t>
      </w:r>
    </w:p>
    <w:p>
      <w:pPr>
        <w:rPr>
          <w:rFonts w:hint="eastAsia"/>
          <w:sz w:val="32"/>
          <w:szCs w:val="32"/>
        </w:rPr>
      </w:pPr>
      <w:r>
        <w:rPr>
          <w:rFonts w:hint="eastAsia"/>
          <w:sz w:val="32"/>
          <w:szCs w:val="32"/>
        </w:rPr>
        <w:t>督执法;会同文物主管部门负责历史文化名城(镇、村)的保护和监督管理工作;受住建局委托，承担建筑工程质量安全监管的责任，对建筑工程质量、建筑安全生产和竣工验收备案的政策、规章制度进行监督执行，组织或参与建筑工程重大质量、安全事故的调查处理;落实城镇燃气管理、城市供水，供热管理、建筑业企业资质管理、建筑市场管理等监督管理政策、规章制度并监督执法。</w:t>
      </w:r>
    </w:p>
    <w:p>
      <w:pPr>
        <w:rPr>
          <w:rFonts w:hint="eastAsia"/>
          <w:sz w:val="32"/>
          <w:szCs w:val="32"/>
        </w:rPr>
      </w:pPr>
      <w:r>
        <w:rPr>
          <w:rFonts w:hint="eastAsia"/>
          <w:sz w:val="32"/>
          <w:szCs w:val="32"/>
        </w:rPr>
        <w:t>人员编制10名，队长职数1名。</w:t>
      </w:r>
    </w:p>
    <w:p>
      <w:pPr>
        <w:rPr>
          <w:rFonts w:hint="eastAsia"/>
          <w:sz w:val="32"/>
          <w:szCs w:val="32"/>
        </w:rPr>
      </w:pPr>
      <w:r>
        <w:rPr>
          <w:rFonts w:hint="eastAsia"/>
          <w:sz w:val="32"/>
          <w:szCs w:val="32"/>
        </w:rPr>
        <w:t>8.环境卫生服务办公室</w:t>
      </w:r>
    </w:p>
    <w:p>
      <w:pPr>
        <w:rPr>
          <w:rFonts w:hint="eastAsia"/>
          <w:sz w:val="32"/>
          <w:szCs w:val="32"/>
        </w:rPr>
      </w:pPr>
      <w:r>
        <w:rPr>
          <w:rFonts w:hint="eastAsia"/>
          <w:sz w:val="32"/>
          <w:szCs w:val="32"/>
        </w:rPr>
        <w:t>负责维护城市环境卫生工作;负责城市环境卫生设施运营和维护工作;负责调兵山市各街路、大明、开发区、北工业园区等各街路清扫保洁及垃圾清运工作;负责全市专项除雪及积雪清运工作。</w:t>
      </w:r>
    </w:p>
    <w:p>
      <w:pPr>
        <w:rPr>
          <w:rFonts w:hint="eastAsia"/>
          <w:sz w:val="32"/>
          <w:szCs w:val="32"/>
        </w:rPr>
      </w:pPr>
      <w:r>
        <w:rPr>
          <w:rFonts w:hint="eastAsia"/>
          <w:sz w:val="32"/>
          <w:szCs w:val="32"/>
        </w:rPr>
        <w:t>人员编制34名，主任职数1名。</w:t>
      </w:r>
    </w:p>
    <w:p>
      <w:pPr>
        <w:numPr>
          <w:ilvl w:val="0"/>
          <w:numId w:val="3"/>
        </w:numPr>
        <w:rPr>
          <w:rFonts w:hint="eastAsia"/>
          <w:sz w:val="32"/>
          <w:szCs w:val="32"/>
        </w:rPr>
      </w:pPr>
      <w:r>
        <w:rPr>
          <w:rFonts w:hint="eastAsia"/>
          <w:sz w:val="32"/>
          <w:szCs w:val="32"/>
        </w:rPr>
        <w:t>建设工程质量监督站(建设工程质量检测中心)为招标投标工作及工程质量监督工作提供服务。</w:t>
      </w:r>
    </w:p>
    <w:p>
      <w:pPr>
        <w:numPr>
          <w:ilvl w:val="0"/>
          <w:numId w:val="3"/>
        </w:numPr>
        <w:rPr>
          <w:rFonts w:hint="eastAsia"/>
          <w:sz w:val="32"/>
          <w:szCs w:val="32"/>
        </w:rPr>
      </w:pPr>
      <w:r>
        <w:rPr>
          <w:rFonts w:hint="eastAsia"/>
          <w:sz w:val="32"/>
          <w:szCs w:val="32"/>
        </w:rPr>
        <w:t>经费自理人员编制20名，站长(主任)职数1名。</w:t>
      </w:r>
    </w:p>
    <w:p>
      <w:pPr>
        <w:numPr>
          <w:ilvl w:val="0"/>
          <w:numId w:val="0"/>
        </w:numPr>
        <w:rPr>
          <w:rFonts w:hint="eastAsia"/>
          <w:sz w:val="32"/>
          <w:szCs w:val="32"/>
        </w:rPr>
      </w:pPr>
      <w:r>
        <w:rPr>
          <w:rFonts w:hint="eastAsia"/>
          <w:sz w:val="32"/>
          <w:szCs w:val="32"/>
        </w:rPr>
        <w:t>(二)分支机构</w:t>
      </w:r>
    </w:p>
    <w:p>
      <w:pPr>
        <w:rPr>
          <w:rFonts w:hint="eastAsia"/>
          <w:sz w:val="32"/>
          <w:szCs w:val="32"/>
        </w:rPr>
      </w:pPr>
      <w:r>
        <w:rPr>
          <w:rFonts w:hint="eastAsia"/>
          <w:sz w:val="32"/>
          <w:szCs w:val="32"/>
        </w:rPr>
        <w:t>根据主要职责，调兵山市城市发展服务中心设4个分支机构。</w:t>
      </w:r>
    </w:p>
    <w:p>
      <w:pPr>
        <w:rPr>
          <w:rFonts w:hint="eastAsia"/>
          <w:sz w:val="32"/>
          <w:szCs w:val="32"/>
        </w:rPr>
      </w:pPr>
      <w:r>
        <w:rPr>
          <w:rFonts w:hint="eastAsia"/>
          <w:sz w:val="32"/>
          <w:szCs w:val="32"/>
        </w:rPr>
        <w:t>1.调兵山市城建档案办公室</w:t>
      </w:r>
    </w:p>
    <w:p>
      <w:pPr>
        <w:rPr>
          <w:rFonts w:hint="eastAsia"/>
          <w:sz w:val="32"/>
          <w:szCs w:val="32"/>
        </w:rPr>
      </w:pPr>
      <w:r>
        <w:rPr>
          <w:rFonts w:hint="eastAsia"/>
          <w:sz w:val="32"/>
          <w:szCs w:val="32"/>
        </w:rPr>
        <w:t>负责城建档案的收集、整理、保管及查询利用等工作。</w:t>
      </w:r>
    </w:p>
    <w:p>
      <w:pPr>
        <w:rPr>
          <w:rFonts w:hint="eastAsia"/>
          <w:sz w:val="32"/>
          <w:szCs w:val="32"/>
        </w:rPr>
      </w:pPr>
      <w:r>
        <w:rPr>
          <w:rFonts w:hint="eastAsia"/>
          <w:sz w:val="32"/>
          <w:szCs w:val="32"/>
        </w:rPr>
        <w:t>人员编制9名，主任职数1名。</w:t>
      </w:r>
    </w:p>
    <w:p>
      <w:pPr>
        <w:rPr>
          <w:rFonts w:hint="eastAsia"/>
          <w:sz w:val="32"/>
          <w:szCs w:val="32"/>
        </w:rPr>
      </w:pPr>
      <w:r>
        <w:rPr>
          <w:rFonts w:hint="eastAsia"/>
          <w:sz w:val="32"/>
          <w:szCs w:val="32"/>
        </w:rPr>
        <w:t>2.调兵山市市政管修服务办公室</w:t>
      </w:r>
    </w:p>
    <w:p>
      <w:pPr>
        <w:rPr>
          <w:rFonts w:hint="eastAsia"/>
          <w:sz w:val="32"/>
          <w:szCs w:val="32"/>
        </w:rPr>
      </w:pPr>
      <w:r>
        <w:rPr>
          <w:rFonts w:hint="eastAsia"/>
          <w:sz w:val="32"/>
          <w:szCs w:val="32"/>
        </w:rPr>
        <w:t>为市区道路的管理与养护、路灯的维修管理、排水管线维修维护、污水泵站维修维护、月亮湖日常管理巡查等工作提供服务。</w:t>
      </w:r>
    </w:p>
    <w:p>
      <w:pPr>
        <w:rPr>
          <w:rFonts w:hint="eastAsia"/>
          <w:sz w:val="32"/>
          <w:szCs w:val="32"/>
        </w:rPr>
      </w:pPr>
      <w:r>
        <w:rPr>
          <w:rFonts w:hint="eastAsia"/>
          <w:sz w:val="32"/>
          <w:szCs w:val="32"/>
        </w:rPr>
        <w:t>人员编制7名，主任职数1名。</w:t>
      </w:r>
    </w:p>
    <w:p>
      <w:pPr>
        <w:numPr>
          <w:ilvl w:val="0"/>
          <w:numId w:val="4"/>
        </w:numPr>
        <w:rPr>
          <w:rFonts w:hint="eastAsia"/>
          <w:sz w:val="32"/>
          <w:szCs w:val="32"/>
        </w:rPr>
      </w:pPr>
      <w:r>
        <w:rPr>
          <w:rFonts w:hint="eastAsia"/>
          <w:sz w:val="32"/>
          <w:szCs w:val="32"/>
        </w:rPr>
        <w:t>调兵山市房屋征收服务办公室</w:t>
      </w:r>
    </w:p>
    <w:p>
      <w:pPr>
        <w:numPr>
          <w:ilvl w:val="0"/>
          <w:numId w:val="0"/>
        </w:numPr>
        <w:rPr>
          <w:rFonts w:hint="eastAsia"/>
          <w:sz w:val="32"/>
          <w:szCs w:val="32"/>
        </w:rPr>
      </w:pPr>
      <w:r>
        <w:rPr>
          <w:rFonts w:hint="eastAsia"/>
          <w:sz w:val="32"/>
          <w:szCs w:val="32"/>
        </w:rPr>
        <w:t>为房屋征收工作提供服务。人员编制8名，主任职数1名。</w:t>
      </w:r>
    </w:p>
    <w:p>
      <w:pPr>
        <w:rPr>
          <w:rFonts w:hint="eastAsia"/>
          <w:sz w:val="32"/>
          <w:szCs w:val="32"/>
        </w:rPr>
      </w:pPr>
      <w:r>
        <w:rPr>
          <w:rFonts w:hint="eastAsia"/>
          <w:sz w:val="32"/>
          <w:szCs w:val="32"/>
        </w:rPr>
        <w:t>4.调兵山市园林服务办公室</w:t>
      </w:r>
    </w:p>
    <w:p>
      <w:pPr>
        <w:rPr>
          <w:rFonts w:hint="eastAsia"/>
          <w:sz w:val="32"/>
          <w:szCs w:val="32"/>
        </w:rPr>
      </w:pPr>
      <w:r>
        <w:rPr>
          <w:rFonts w:hint="eastAsia"/>
          <w:sz w:val="32"/>
          <w:szCs w:val="32"/>
        </w:rPr>
        <w:t>负责城市绿地系统规划，城市公园工程设计，城市广场工程设计，风景园林工程设计，公园设施维护与管理，公园绿化、卫生、防火等工作。</w:t>
      </w:r>
    </w:p>
    <w:p>
      <w:pPr>
        <w:rPr>
          <w:rFonts w:hint="eastAsia"/>
          <w:sz w:val="32"/>
          <w:szCs w:val="32"/>
        </w:rPr>
      </w:pPr>
      <w:r>
        <w:rPr>
          <w:rFonts w:hint="eastAsia"/>
          <w:sz w:val="32"/>
          <w:szCs w:val="32"/>
        </w:rPr>
        <w:t>人员编制32名，主任职数1名。</w:t>
      </w:r>
    </w:p>
    <w:p>
      <w:pPr>
        <w:rPr>
          <w:rFonts w:hint="eastAsia"/>
          <w:sz w:val="32"/>
          <w:szCs w:val="32"/>
        </w:rPr>
      </w:pPr>
    </w:p>
    <w:p>
      <w:pPr>
        <w:rPr>
          <w:rFonts w:hint="eastAsia"/>
          <w:b/>
          <w:bCs/>
          <w:sz w:val="32"/>
          <w:szCs w:val="32"/>
        </w:rPr>
      </w:pPr>
      <w:r>
        <w:rPr>
          <w:rFonts w:hint="eastAsia"/>
          <w:b/>
          <w:bCs/>
          <w:sz w:val="32"/>
          <w:szCs w:val="32"/>
        </w:rPr>
        <w:t>三、人员编制和领导职数</w:t>
      </w:r>
    </w:p>
    <w:p>
      <w:pPr>
        <w:rPr>
          <w:rFonts w:hint="eastAsia"/>
          <w:sz w:val="32"/>
          <w:szCs w:val="32"/>
        </w:rPr>
      </w:pPr>
      <w:r>
        <w:rPr>
          <w:rFonts w:hint="eastAsia"/>
          <w:sz w:val="32"/>
          <w:szCs w:val="32"/>
        </w:rPr>
        <w:t>调兵山市城市发展服务中心人员编制198名，其中，财政全部补助人员编制119名，经费自理人员编制79名;人员编制结构为:管理人员编制80名，专业技术人员编制90名，工勤人员编制28名。</w:t>
      </w:r>
    </w:p>
    <w:p>
      <w:pPr>
        <w:rPr>
          <w:rFonts w:hint="eastAsia"/>
          <w:sz w:val="32"/>
          <w:szCs w:val="32"/>
        </w:rPr>
      </w:pPr>
      <w:r>
        <w:rPr>
          <w:rFonts w:hint="eastAsia"/>
          <w:sz w:val="32"/>
          <w:szCs w:val="32"/>
        </w:rPr>
        <w:t>调兵山市城市发展服务中心领导职数6名，其中，主任职数1名，副主任职数5名;内设机构领导职数9名;分支机构领导职数4名。</w:t>
      </w:r>
    </w:p>
    <w:p>
      <w:pPr>
        <w:rPr>
          <w:rFonts w:hint="eastAsia"/>
          <w:sz w:val="32"/>
          <w:szCs w:val="32"/>
        </w:rPr>
      </w:pPr>
      <w:r>
        <w:rPr>
          <w:rFonts w:hint="eastAsia"/>
          <w:sz w:val="32"/>
          <w:szCs w:val="32"/>
        </w:rPr>
        <w:t>四、其他事项</w:t>
      </w:r>
    </w:p>
    <w:p>
      <w:pPr>
        <w:rPr>
          <w:rFonts w:hint="eastAsia"/>
          <w:sz w:val="32"/>
          <w:szCs w:val="32"/>
        </w:rPr>
      </w:pPr>
      <w:r>
        <w:rPr>
          <w:rFonts w:hint="eastAsia"/>
          <w:sz w:val="32"/>
          <w:szCs w:val="32"/>
        </w:rPr>
        <w:t>(一)将调兵山市住房和城乡建设局所属调兵山市城市发展服务中心的房产监察、公用事业收费职能划出至调兵山市城乡管理综合行政执法队。</w:t>
      </w:r>
    </w:p>
    <w:p>
      <w:pPr>
        <w:rPr>
          <w:rFonts w:hint="eastAsia"/>
          <w:sz w:val="32"/>
          <w:szCs w:val="32"/>
        </w:rPr>
      </w:pPr>
      <w:r>
        <w:rPr>
          <w:rFonts w:hint="eastAsia"/>
          <w:sz w:val="32"/>
          <w:szCs w:val="32"/>
        </w:rPr>
        <w:t>(二)严格执行实名制管理和实行满编运行，经费自理编制收回后精简，空余财政补助编制收回交由市委机构编制委员会统一管理。</w:t>
      </w:r>
    </w:p>
    <w:p>
      <w:pPr>
        <w:rPr>
          <w:rFonts w:hint="eastAsia"/>
          <w:sz w:val="32"/>
          <w:szCs w:val="32"/>
        </w:rPr>
      </w:pPr>
      <w:r>
        <w:rPr>
          <w:rFonts w:hint="eastAsia"/>
          <w:sz w:val="32"/>
          <w:szCs w:val="32"/>
        </w:rPr>
        <w:t>(三)请按有关规定到市事业单位登记管理机关办理相关手续。</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二、部门决算单位构成</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共有</w:t>
      </w:r>
      <w:r>
        <w:rPr>
          <w:rFonts w:hint="eastAsia" w:ascii="仿宋_GB2312" w:hAnsi="宋体" w:eastAsia="仿宋_GB2312" w:cs="宋体"/>
          <w:bCs/>
          <w:color w:val="222222"/>
          <w:kern w:val="36"/>
          <w:sz w:val="32"/>
          <w:szCs w:val="32"/>
          <w:lang w:val="en-US" w:eastAsia="zh-CN"/>
        </w:rPr>
        <w:t>1</w:t>
      </w:r>
      <w:r>
        <w:rPr>
          <w:rFonts w:hint="eastAsia" w:ascii="仿宋_GB2312" w:hAnsi="宋体" w:eastAsia="仿宋_GB2312" w:cs="宋体"/>
          <w:bCs/>
          <w:color w:val="222222"/>
          <w:kern w:val="36"/>
          <w:sz w:val="32"/>
          <w:szCs w:val="32"/>
        </w:rPr>
        <w:t>家预算单位，其中行政单位</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家，事业单位</w:t>
      </w:r>
      <w:r>
        <w:rPr>
          <w:rFonts w:hint="eastAsia" w:ascii="仿宋_GB2312" w:hAnsi="宋体" w:eastAsia="仿宋_GB2312" w:cs="宋体"/>
          <w:bCs/>
          <w:color w:val="222222"/>
          <w:kern w:val="36"/>
          <w:sz w:val="32"/>
          <w:szCs w:val="32"/>
          <w:lang w:val="en-US" w:eastAsia="zh-CN"/>
        </w:rPr>
        <w:t>1</w:t>
      </w:r>
      <w:r>
        <w:rPr>
          <w:rFonts w:hint="eastAsia" w:ascii="仿宋_GB2312" w:hAnsi="宋体" w:eastAsia="仿宋_GB2312" w:cs="宋体"/>
          <w:bCs/>
          <w:color w:val="222222"/>
          <w:kern w:val="36"/>
          <w:sz w:val="32"/>
          <w:szCs w:val="32"/>
        </w:rPr>
        <w:t>家。</w:t>
      </w:r>
    </w:p>
    <w:p>
      <w:pPr>
        <w:widowControl/>
        <w:adjustRightInd w:val="0"/>
        <w:spacing w:before="100" w:beforeAutospacing="1" w:after="100" w:afterAutospacing="1" w:line="560" w:lineRule="exact"/>
        <w:ind w:firstLine="640" w:firstLineChars="200"/>
        <w:rPr>
          <w:rFonts w:hint="eastAsia" w:ascii="宋体" w:hAnsi="宋体" w:eastAsia="仿宋" w:cs="宋体"/>
          <w:color w:val="222222"/>
          <w:kern w:val="0"/>
          <w:sz w:val="24"/>
          <w:szCs w:val="24"/>
          <w:lang w:eastAsia="zh-CN"/>
        </w:rPr>
      </w:pPr>
      <w:r>
        <w:rPr>
          <w:rFonts w:hint="eastAsia" w:ascii="仿宋_GB2312" w:hAnsi="宋体" w:eastAsia="仿宋_GB2312" w:cs="宋体"/>
          <w:bCs/>
          <w:color w:val="222222"/>
          <w:kern w:val="36"/>
          <w:sz w:val="32"/>
          <w:szCs w:val="32"/>
        </w:rPr>
        <w:t>纳入</w:t>
      </w:r>
      <w:r>
        <w:rPr>
          <w:rFonts w:hint="eastAsia" w:ascii="仿宋" w:hAnsi="仿宋" w:eastAsia="仿宋" w:cs="仿宋"/>
          <w:b w:val="0"/>
          <w:bCs/>
          <w:kern w:val="36"/>
          <w:sz w:val="32"/>
          <w:szCs w:val="32"/>
        </w:rPr>
        <w:t>调兵山市城市发展服务中心</w:t>
      </w:r>
      <w:r>
        <w:rPr>
          <w:rFonts w:hint="eastAsia" w:ascii="仿宋_GB2312" w:hAnsi="宋体" w:eastAsia="仿宋_GB2312" w:cs="宋体"/>
          <w:bCs/>
          <w:color w:val="222222"/>
          <w:kern w:val="36"/>
          <w:sz w:val="32"/>
          <w:szCs w:val="32"/>
        </w:rPr>
        <w:t>2022年部门决算编制范围的二级预算单位包括：</w:t>
      </w:r>
      <w:r>
        <w:rPr>
          <w:rFonts w:hint="eastAsia" w:ascii="仿宋" w:hAnsi="仿宋" w:eastAsia="仿宋" w:cs="仿宋"/>
          <w:b w:val="0"/>
          <w:bCs/>
          <w:kern w:val="36"/>
          <w:sz w:val="32"/>
          <w:szCs w:val="32"/>
        </w:rPr>
        <w:t>调兵山市城市发展服务中心</w:t>
      </w:r>
      <w:r>
        <w:rPr>
          <w:rFonts w:hint="eastAsia" w:ascii="仿宋" w:hAnsi="仿宋" w:eastAsia="仿宋" w:cs="仿宋"/>
          <w:b w:val="0"/>
          <w:bCs/>
          <w:kern w:val="36"/>
          <w:sz w:val="32"/>
          <w:szCs w:val="32"/>
          <w:lang w:eastAsia="zh-CN"/>
        </w:rPr>
        <w:t>（本级）</w:t>
      </w:r>
    </w:p>
    <w:p>
      <w:pPr>
        <w:widowControl/>
        <w:adjustRightInd w:val="0"/>
        <w:spacing w:before="100" w:beforeAutospacing="1" w:after="100" w:afterAutospacing="1" w:line="560" w:lineRule="exact"/>
        <w:rPr>
          <w:rFonts w:hint="eastAsia" w:ascii="黑体" w:hAnsi="黑体" w:eastAsia="黑体" w:cs="黑体"/>
          <w:b/>
          <w:bCs w:val="0"/>
          <w:color w:val="222222"/>
          <w:kern w:val="0"/>
          <w:sz w:val="32"/>
          <w:szCs w:val="32"/>
        </w:rPr>
      </w:pPr>
      <w:r>
        <w:rPr>
          <w:rFonts w:hint="eastAsia" w:ascii="宋体" w:hAnsi="宋体" w:eastAsia="宋体" w:cs="宋体"/>
          <w:b/>
          <w:bCs/>
          <w:color w:val="222222"/>
          <w:kern w:val="36"/>
          <w:sz w:val="32"/>
          <w:szCs w:val="32"/>
        </w:rPr>
        <w:t xml:space="preserve">第二部分 </w:t>
      </w:r>
      <w:r>
        <w:rPr>
          <w:rFonts w:hint="eastAsia" w:ascii="黑体" w:hAnsi="黑体" w:eastAsia="黑体" w:cs="黑体"/>
          <w:b/>
          <w:bCs w:val="0"/>
          <w:kern w:val="36"/>
          <w:sz w:val="32"/>
          <w:szCs w:val="32"/>
        </w:rPr>
        <w:t>调兵山市城市发展服务中心</w:t>
      </w:r>
      <w:r>
        <w:rPr>
          <w:rFonts w:hint="eastAsia" w:ascii="黑体" w:hAnsi="黑体" w:eastAsia="黑体" w:cs="黑体"/>
          <w:b/>
          <w:bCs w:val="0"/>
          <w:color w:val="222222"/>
          <w:kern w:val="36"/>
          <w:sz w:val="32"/>
          <w:szCs w:val="32"/>
        </w:rPr>
        <w:t>2022年部门决算表</w:t>
      </w:r>
    </w:p>
    <w:p>
      <w:pPr>
        <w:widowControl/>
        <w:adjustRightInd w:val="0"/>
        <w:spacing w:before="100" w:beforeAutospacing="1" w:after="100" w:afterAutospacing="1" w:line="560" w:lineRule="exact"/>
        <w:jc w:val="center"/>
        <w:rPr>
          <w:rFonts w:ascii="宋体" w:hAnsi="宋体" w:eastAsia="宋体" w:cs="宋体"/>
          <w:color w:val="222222"/>
          <w:kern w:val="0"/>
          <w:sz w:val="24"/>
          <w:szCs w:val="24"/>
        </w:rPr>
      </w:pPr>
      <w:r>
        <w:rPr>
          <w:rFonts w:hint="eastAsia" w:ascii="仿宋" w:hAnsi="仿宋" w:eastAsia="仿宋" w:cs="宋体"/>
          <w:bCs/>
          <w:color w:val="222222"/>
          <w:kern w:val="36"/>
          <w:sz w:val="32"/>
          <w:szCs w:val="32"/>
        </w:rPr>
        <w:t>（点击链接）</w:t>
      </w:r>
    </w:p>
    <w:p>
      <w:pPr>
        <w:widowControl/>
        <w:adjustRightInd w:val="0"/>
        <w:spacing w:before="100" w:beforeAutospacing="1" w:after="100" w:afterAutospacing="1" w:line="560" w:lineRule="exact"/>
        <w:rPr>
          <w:rFonts w:hint="eastAsia" w:ascii="黑体" w:hAnsi="黑体" w:eastAsia="黑体" w:cs="黑体"/>
          <w:b/>
          <w:bCs w:val="0"/>
          <w:color w:val="222222"/>
          <w:kern w:val="0"/>
          <w:sz w:val="32"/>
          <w:szCs w:val="32"/>
        </w:rPr>
      </w:pPr>
      <w:r>
        <w:rPr>
          <w:rFonts w:hint="eastAsia" w:ascii="仿宋" w:hAnsi="仿宋" w:eastAsia="仿宋" w:cs="宋体"/>
          <w:bCs/>
          <w:color w:val="222222"/>
          <w:kern w:val="36"/>
          <w:sz w:val="32"/>
          <w:szCs w:val="32"/>
        </w:rPr>
        <w:t>附件：</w:t>
      </w:r>
      <w:r>
        <w:rPr>
          <w:rFonts w:hint="eastAsia" w:ascii="黑体" w:hAnsi="黑体" w:eastAsia="黑体" w:cs="黑体"/>
          <w:b/>
          <w:bCs w:val="0"/>
          <w:kern w:val="36"/>
          <w:sz w:val="32"/>
          <w:szCs w:val="32"/>
        </w:rPr>
        <w:t>调兵山市城市发展服务中心</w:t>
      </w:r>
      <w:r>
        <w:rPr>
          <w:rFonts w:hint="eastAsia" w:ascii="黑体" w:hAnsi="黑体" w:eastAsia="黑体" w:cs="黑体"/>
          <w:b/>
          <w:bCs w:val="0"/>
          <w:color w:val="222222"/>
          <w:kern w:val="36"/>
          <w:sz w:val="32"/>
          <w:szCs w:val="32"/>
        </w:rPr>
        <w:t>2022年部门决算表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一、2022年度收入支出决算总表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二、2022年度收入决算表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三、2022年度支出决算表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四、2022年度财政拨款收入支出决算表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五、2022年度一般公共预算财政拨款收入支出决算表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六、2022年度一般公共预算财政拨款基本支出决算表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七、2022年度政府性基金财政拨款收入支出决算表</w:t>
      </w:r>
    </w:p>
    <w:p>
      <w:pPr>
        <w:widowControl/>
        <w:adjustRightInd w:val="0"/>
        <w:spacing w:before="100" w:beforeAutospacing="1" w:after="100" w:afterAutospacing="1" w:line="560" w:lineRule="exact"/>
        <w:ind w:firstLine="1280" w:firstLineChars="4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八、2022年度“三公”经费支出情况表</w:t>
      </w:r>
    </w:p>
    <w:p>
      <w:pPr>
        <w:widowControl/>
        <w:adjustRightInd w:val="0"/>
        <w:spacing w:before="100" w:beforeAutospacing="1" w:after="100" w:afterAutospacing="1" w:line="560" w:lineRule="exact"/>
        <w:ind w:firstLine="643" w:firstLineChars="200"/>
        <w:jc w:val="center"/>
        <w:rPr>
          <w:rFonts w:ascii="宋体" w:hAnsi="宋体" w:eastAsia="宋体" w:cs="宋体"/>
          <w:color w:val="222222"/>
          <w:kern w:val="0"/>
          <w:sz w:val="24"/>
          <w:szCs w:val="24"/>
        </w:rPr>
      </w:pPr>
      <w:r>
        <w:rPr>
          <w:rFonts w:hint="eastAsia" w:ascii="宋体" w:hAnsi="宋体" w:eastAsia="宋体" w:cs="宋体"/>
          <w:b/>
          <w:bCs/>
          <w:color w:val="222222"/>
          <w:kern w:val="36"/>
          <w:sz w:val="32"/>
          <w:szCs w:val="32"/>
        </w:rPr>
        <w:t>第三部分 2022年部门决算情况说明</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一、收支决算总体情况</w:t>
      </w:r>
    </w:p>
    <w:p>
      <w:pPr>
        <w:adjustRightInd w:val="0"/>
        <w:snapToGrid w:val="0"/>
        <w:spacing w:line="560" w:lineRule="exact"/>
        <w:ind w:firstLine="640" w:firstLineChars="200"/>
        <w:rPr>
          <w:rFonts w:ascii="黑体" w:hAnsi="黑体" w:eastAsia="黑体" w:cs="宋体"/>
          <w:bCs/>
          <w:kern w:val="36"/>
          <w:sz w:val="32"/>
          <w:szCs w:val="32"/>
        </w:rPr>
      </w:pPr>
      <w:r>
        <w:rPr>
          <w:rFonts w:hint="eastAsia" w:ascii="黑体" w:hAnsi="黑体" w:eastAsia="黑体" w:cs="宋体"/>
          <w:bCs/>
          <w:kern w:val="36"/>
          <w:sz w:val="32"/>
          <w:szCs w:val="32"/>
        </w:rPr>
        <w:t>一、收支决算总体情况</w:t>
      </w:r>
    </w:p>
    <w:p>
      <w:pPr>
        <w:adjustRightInd w:val="0"/>
        <w:snapToGrid w:val="0"/>
        <w:spacing w:line="560" w:lineRule="exact"/>
        <w:ind w:firstLine="645"/>
        <w:rPr>
          <w:rFonts w:hint="eastAsia" w:ascii="黑体" w:hAnsi="黑体" w:eastAsia="黑体" w:cs="宋体"/>
          <w:bCs/>
          <w:kern w:val="36"/>
          <w:sz w:val="32"/>
          <w:szCs w:val="32"/>
        </w:rPr>
      </w:pPr>
      <w:r>
        <w:rPr>
          <w:rFonts w:hint="eastAsia" w:ascii="黑体" w:hAnsi="黑体" w:eastAsia="黑体" w:cs="宋体"/>
          <w:bCs/>
          <w:kern w:val="36"/>
          <w:sz w:val="32"/>
          <w:szCs w:val="32"/>
        </w:rPr>
        <w:t>（一）20</w:t>
      </w:r>
      <w:r>
        <w:rPr>
          <w:rFonts w:ascii="黑体" w:hAnsi="黑体" w:eastAsia="黑体" w:cs="宋体"/>
          <w:bCs/>
          <w:kern w:val="36"/>
          <w:sz w:val="32"/>
          <w:szCs w:val="32"/>
        </w:rPr>
        <w:t>22</w:t>
      </w:r>
      <w:r>
        <w:rPr>
          <w:rFonts w:hint="eastAsia" w:ascii="黑体" w:hAnsi="黑体" w:eastAsia="黑体" w:cs="宋体"/>
          <w:bCs/>
          <w:kern w:val="36"/>
          <w:sz w:val="32"/>
          <w:szCs w:val="32"/>
        </w:rPr>
        <w:t>年收入总计</w:t>
      </w:r>
      <w:r>
        <w:rPr>
          <w:rFonts w:hint="eastAsia" w:ascii="仿宋_GB2312" w:hAnsi="宋体" w:eastAsia="仿宋_GB2312" w:cs="宋体"/>
          <w:bCs/>
          <w:kern w:val="36"/>
          <w:sz w:val="32"/>
          <w:szCs w:val="32"/>
        </w:rPr>
        <w:t>612.40</w:t>
      </w:r>
      <w:r>
        <w:rPr>
          <w:rFonts w:hint="eastAsia" w:ascii="黑体" w:hAnsi="黑体" w:eastAsia="黑体" w:cs="宋体"/>
          <w:bCs/>
          <w:kern w:val="36"/>
          <w:sz w:val="32"/>
          <w:szCs w:val="32"/>
        </w:rPr>
        <w:t>万元。包括:</w:t>
      </w:r>
    </w:p>
    <w:p>
      <w:pPr>
        <w:adjustRightInd w:val="0"/>
        <w:snapToGrid w:val="0"/>
        <w:spacing w:line="560" w:lineRule="exact"/>
        <w:ind w:firstLine="640" w:firstLineChars="200"/>
        <w:rPr>
          <w:rFonts w:ascii="仿宋_GB2312" w:hAnsi="宋体" w:eastAsia="仿宋_GB2312" w:cs="宋体"/>
          <w:bCs/>
          <w:kern w:val="36"/>
          <w:sz w:val="32"/>
          <w:szCs w:val="32"/>
        </w:rPr>
      </w:pPr>
      <w:r>
        <w:rPr>
          <w:rFonts w:hint="eastAsia" w:ascii="仿宋_GB2312" w:hAnsi="宋体" w:eastAsia="仿宋_GB2312" w:cs="宋体"/>
          <w:bCs/>
          <w:kern w:val="36"/>
          <w:sz w:val="32"/>
          <w:szCs w:val="32"/>
        </w:rPr>
        <w:t>1.财政拨款收入612.40  万元，其中：公共预算财政拨款收入612.40万元，政府性基金收入 0万元。</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2.上级补助收入   0   万元。</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3.事业收入  0    万元。</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4.经营收入      0万元。</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5.附属单位上缴收入  0    万元。</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6.其他收入   0   万元，</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7.用事业基金弥补收支差额  0   万元，</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8.上年结转和结余   0  万元，</w:t>
      </w:r>
    </w:p>
    <w:p>
      <w:pPr>
        <w:adjustRightInd w:val="0"/>
        <w:snapToGrid w:val="0"/>
        <w:spacing w:line="560" w:lineRule="exact"/>
        <w:ind w:firstLine="643" w:firstLineChars="200"/>
        <w:rPr>
          <w:rFonts w:hint="eastAsia" w:ascii="仿宋_GB2312" w:hAnsi="宋体" w:eastAsia="仿宋_GB2312" w:cs="宋体"/>
          <w:bCs/>
          <w:kern w:val="36"/>
          <w:sz w:val="32"/>
          <w:szCs w:val="32"/>
          <w:lang w:eastAsia="zh-CN"/>
        </w:rPr>
      </w:pPr>
      <w:r>
        <w:rPr>
          <w:rFonts w:hint="eastAsia" w:ascii="仿宋" w:hAnsi="仿宋" w:eastAsia="仿宋" w:cs="宋体"/>
          <w:b/>
          <w:bCs/>
          <w:kern w:val="36"/>
          <w:sz w:val="32"/>
          <w:szCs w:val="32"/>
        </w:rPr>
        <w:t>收入增减情况。</w:t>
      </w:r>
      <w:r>
        <w:rPr>
          <w:rFonts w:hint="eastAsia" w:ascii="仿宋_GB2312" w:hAnsi="宋体" w:eastAsia="仿宋_GB2312" w:cs="宋体"/>
          <w:bCs/>
          <w:kern w:val="36"/>
          <w:sz w:val="32"/>
          <w:szCs w:val="32"/>
        </w:rPr>
        <w:t>20</w:t>
      </w:r>
      <w:r>
        <w:rPr>
          <w:rFonts w:ascii="仿宋_GB2312" w:hAnsi="宋体" w:eastAsia="仿宋_GB2312" w:cs="宋体"/>
          <w:bCs/>
          <w:kern w:val="36"/>
          <w:sz w:val="32"/>
          <w:szCs w:val="32"/>
        </w:rPr>
        <w:t>22</w:t>
      </w:r>
      <w:r>
        <w:rPr>
          <w:rFonts w:hint="eastAsia" w:ascii="仿宋_GB2312" w:hAnsi="宋体" w:eastAsia="仿宋_GB2312" w:cs="宋体"/>
          <w:bCs/>
          <w:kern w:val="36"/>
          <w:sz w:val="32"/>
          <w:szCs w:val="32"/>
        </w:rPr>
        <w:t xml:space="preserve">年，调兵山市城市发展服务中心部门决算收入612.40万元，比上年减   </w:t>
      </w:r>
      <w:r>
        <w:rPr>
          <w:rFonts w:hint="eastAsia" w:ascii="仿宋_GB2312" w:hAnsi="宋体" w:eastAsia="仿宋_GB2312" w:cs="宋体"/>
          <w:bCs/>
          <w:kern w:val="36"/>
          <w:sz w:val="32"/>
          <w:szCs w:val="32"/>
          <w:lang w:val="en-US" w:eastAsia="zh-CN"/>
        </w:rPr>
        <w:t>208.3</w:t>
      </w:r>
      <w:r>
        <w:rPr>
          <w:rFonts w:hint="eastAsia" w:ascii="仿宋_GB2312" w:hAnsi="宋体" w:eastAsia="仿宋_GB2312" w:cs="宋体"/>
          <w:bCs/>
          <w:kern w:val="36"/>
          <w:sz w:val="32"/>
          <w:szCs w:val="32"/>
        </w:rPr>
        <w:t>万元，</w:t>
      </w:r>
      <w:r>
        <w:rPr>
          <w:rFonts w:hint="eastAsia" w:ascii="仿宋_GB2312" w:hAnsi="宋体" w:eastAsia="仿宋_GB2312" w:cs="宋体"/>
          <w:bCs/>
          <w:kern w:val="36"/>
          <w:sz w:val="32"/>
          <w:szCs w:val="32"/>
          <w:lang w:eastAsia="zh-CN"/>
        </w:rPr>
        <w:t>减</w:t>
      </w:r>
      <w:r>
        <w:rPr>
          <w:rFonts w:hint="eastAsia" w:ascii="仿宋_GB2312" w:hAnsi="宋体" w:eastAsia="仿宋_GB2312" w:cs="宋体"/>
          <w:bCs/>
          <w:kern w:val="36"/>
          <w:sz w:val="32"/>
          <w:szCs w:val="32"/>
        </w:rPr>
        <w:t xml:space="preserve">幅 </w:t>
      </w:r>
      <w:r>
        <w:rPr>
          <w:rFonts w:hint="eastAsia" w:ascii="仿宋_GB2312" w:hAnsi="宋体" w:eastAsia="仿宋_GB2312" w:cs="宋体"/>
          <w:bCs/>
          <w:kern w:val="36"/>
          <w:sz w:val="32"/>
          <w:szCs w:val="32"/>
          <w:lang w:val="en-US" w:eastAsia="zh-CN"/>
        </w:rPr>
        <w:t>26</w:t>
      </w:r>
      <w:r>
        <w:rPr>
          <w:rFonts w:hint="eastAsia" w:ascii="仿宋_GB2312" w:hAnsi="宋体" w:eastAsia="仿宋_GB2312" w:cs="宋体"/>
          <w:bCs/>
          <w:kern w:val="36"/>
          <w:sz w:val="32"/>
          <w:szCs w:val="32"/>
        </w:rPr>
        <w:t xml:space="preserve">  %，其中：财政拨款收入612.40万元，同比减</w:t>
      </w:r>
      <w:r>
        <w:rPr>
          <w:rFonts w:hint="eastAsia" w:ascii="仿宋_GB2312" w:hAnsi="宋体" w:eastAsia="仿宋_GB2312" w:cs="宋体"/>
          <w:bCs/>
          <w:kern w:val="36"/>
          <w:sz w:val="32"/>
          <w:szCs w:val="32"/>
          <w:lang w:val="en-US" w:eastAsia="zh-CN"/>
        </w:rPr>
        <w:t>208.3</w:t>
      </w:r>
      <w:r>
        <w:rPr>
          <w:rFonts w:hint="eastAsia" w:ascii="仿宋_GB2312" w:hAnsi="宋体" w:eastAsia="仿宋_GB2312" w:cs="宋体"/>
          <w:bCs/>
          <w:kern w:val="36"/>
          <w:sz w:val="32"/>
          <w:szCs w:val="32"/>
        </w:rPr>
        <w:t>万元，</w:t>
      </w:r>
      <w:r>
        <w:rPr>
          <w:rFonts w:hint="eastAsia" w:ascii="仿宋_GB2312" w:hAnsi="宋体" w:eastAsia="仿宋_GB2312" w:cs="宋体"/>
          <w:bCs/>
          <w:kern w:val="36"/>
          <w:sz w:val="32"/>
          <w:szCs w:val="32"/>
          <w:lang w:eastAsia="zh-CN"/>
        </w:rPr>
        <w:t>减</w:t>
      </w:r>
      <w:r>
        <w:rPr>
          <w:rFonts w:hint="eastAsia" w:ascii="仿宋_GB2312" w:hAnsi="宋体" w:eastAsia="仿宋_GB2312" w:cs="宋体"/>
          <w:bCs/>
          <w:kern w:val="36"/>
          <w:sz w:val="32"/>
          <w:szCs w:val="32"/>
        </w:rPr>
        <w:t xml:space="preserve">幅 </w:t>
      </w:r>
      <w:r>
        <w:rPr>
          <w:rFonts w:hint="eastAsia" w:ascii="仿宋_GB2312" w:hAnsi="宋体" w:eastAsia="仿宋_GB2312" w:cs="宋体"/>
          <w:bCs/>
          <w:kern w:val="36"/>
          <w:sz w:val="32"/>
          <w:szCs w:val="32"/>
          <w:lang w:val="en-US" w:eastAsia="zh-CN"/>
        </w:rPr>
        <w:t>26</w:t>
      </w:r>
      <w:r>
        <w:rPr>
          <w:rFonts w:hint="eastAsia" w:ascii="仿宋_GB2312" w:hAnsi="宋体" w:eastAsia="仿宋_GB2312" w:cs="宋体"/>
          <w:bCs/>
          <w:kern w:val="36"/>
          <w:sz w:val="32"/>
          <w:szCs w:val="32"/>
        </w:rPr>
        <w:t xml:space="preserve"> %；其他收入  0万元，同比增减 0   万元，增幅 0   %。财政拨款收入减支出的主要原因：</w:t>
      </w:r>
      <w:r>
        <w:rPr>
          <w:rFonts w:hint="eastAsia" w:ascii="仿宋_GB2312" w:hAnsi="宋体" w:eastAsia="仿宋_GB2312" w:cs="宋体"/>
          <w:bCs/>
          <w:kern w:val="36"/>
          <w:sz w:val="32"/>
          <w:szCs w:val="32"/>
          <w:lang w:eastAsia="zh-CN"/>
        </w:rPr>
        <w:t>调兵山市综合执法局从中心调出</w:t>
      </w:r>
    </w:p>
    <w:p>
      <w:pPr>
        <w:adjustRightInd w:val="0"/>
        <w:snapToGrid w:val="0"/>
        <w:spacing w:line="560" w:lineRule="exact"/>
        <w:ind w:firstLine="480" w:firstLineChars="200"/>
        <w:rPr>
          <w:rFonts w:ascii="宋体" w:hAnsi="宋体" w:eastAsia="宋体" w:cs="宋体"/>
          <w:color w:val="222222"/>
          <w:kern w:val="0"/>
          <w:sz w:val="24"/>
          <w:szCs w:val="24"/>
        </w:rPr>
      </w:pPr>
    </w:p>
    <w:p>
      <w:pPr>
        <w:adjustRightInd w:val="0"/>
        <w:snapToGrid w:val="0"/>
        <w:spacing w:line="560" w:lineRule="exact"/>
        <w:ind w:firstLine="645"/>
        <w:rPr>
          <w:rFonts w:hint="eastAsia" w:ascii="黑体" w:hAnsi="黑体" w:eastAsia="黑体" w:cs="宋体"/>
          <w:bCs/>
          <w:kern w:val="36"/>
          <w:sz w:val="32"/>
          <w:szCs w:val="32"/>
        </w:rPr>
      </w:pPr>
      <w:r>
        <w:rPr>
          <w:rFonts w:hint="eastAsia" w:ascii="黑体" w:hAnsi="黑体" w:eastAsia="黑体" w:cs="宋体"/>
          <w:bCs/>
          <w:kern w:val="36"/>
          <w:sz w:val="32"/>
          <w:szCs w:val="32"/>
        </w:rPr>
        <w:t>（二）支出总计</w:t>
      </w:r>
      <w:r>
        <w:rPr>
          <w:rFonts w:hint="eastAsia" w:ascii="仿宋_GB2312" w:hAnsi="宋体" w:eastAsia="仿宋_GB2312" w:cs="宋体"/>
          <w:bCs/>
          <w:kern w:val="36"/>
          <w:sz w:val="32"/>
          <w:szCs w:val="32"/>
        </w:rPr>
        <w:t>612.40</w:t>
      </w:r>
      <w:r>
        <w:rPr>
          <w:rFonts w:hint="eastAsia" w:ascii="黑体" w:hAnsi="黑体" w:eastAsia="黑体" w:cs="宋体"/>
          <w:bCs/>
          <w:kern w:val="36"/>
          <w:sz w:val="32"/>
          <w:szCs w:val="32"/>
        </w:rPr>
        <w:t xml:space="preserve"> 万元，包括：</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1.基本支出 612.40 万元，主要是为保障机构正常运转、完成日常工作任务而发生的各项支出，其中：工资福利支出      579.14万元，对个人和家庭的补助支出 4.34万元，商品和服务支出28.92万元，资本性支出   0   万元。</w:t>
      </w:r>
    </w:p>
    <w:p>
      <w:pPr>
        <w:adjustRightInd w:val="0"/>
        <w:snapToGrid w:val="0"/>
        <w:spacing w:line="560" w:lineRule="exact"/>
        <w:ind w:firstLine="645"/>
        <w:rPr>
          <w:rFonts w:ascii="Calibri" w:hAnsi="Calibri" w:eastAsia="仿宋_GB2312" w:cs="宋体"/>
          <w:bCs/>
          <w:kern w:val="36"/>
          <w:sz w:val="32"/>
          <w:szCs w:val="32"/>
        </w:rPr>
      </w:pPr>
      <w:r>
        <w:rPr>
          <w:rFonts w:hint="eastAsia" w:ascii="仿宋_GB2312" w:hAnsi="宋体" w:eastAsia="仿宋_GB2312" w:cs="宋体"/>
          <w:bCs/>
          <w:kern w:val="36"/>
          <w:sz w:val="32"/>
          <w:szCs w:val="32"/>
        </w:rPr>
        <w:t xml:space="preserve">2.项目支出 </w:t>
      </w:r>
      <w:r>
        <w:rPr>
          <w:rFonts w:ascii="仿宋_GB2312" w:hAnsi="宋体" w:eastAsia="仿宋_GB2312" w:cs="宋体"/>
          <w:bCs/>
          <w:kern w:val="36"/>
          <w:sz w:val="32"/>
          <w:szCs w:val="32"/>
        </w:rPr>
        <w:t>0</w:t>
      </w:r>
      <w:r>
        <w:rPr>
          <w:rFonts w:hint="eastAsia" w:ascii="仿宋_GB2312" w:hAnsi="宋体" w:eastAsia="仿宋_GB2312" w:cs="宋体"/>
          <w:bCs/>
          <w:kern w:val="36"/>
          <w:sz w:val="32"/>
          <w:szCs w:val="32"/>
        </w:rPr>
        <w:t>万元</w:t>
      </w:r>
      <w:r>
        <w:rPr>
          <w:rFonts w:ascii="Calibri" w:hAnsi="Calibri" w:eastAsia="仿宋_GB2312" w:cs="宋体"/>
          <w:bCs/>
          <w:kern w:val="36"/>
          <w:sz w:val="32"/>
          <w:szCs w:val="32"/>
        </w:rPr>
        <w:t>.</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3.上缴上级支出   0   万元。</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4.经营支出   0   万元。</w:t>
      </w:r>
    </w:p>
    <w:p>
      <w:pPr>
        <w:adjustRightInd w:val="0"/>
        <w:snapToGrid w:val="0"/>
        <w:spacing w:line="560" w:lineRule="exact"/>
        <w:ind w:firstLine="645"/>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5.对附属单位补助支出   0   万元。</w:t>
      </w:r>
    </w:p>
    <w:p>
      <w:pPr>
        <w:adjustRightInd w:val="0"/>
        <w:snapToGrid w:val="0"/>
        <w:spacing w:line="560" w:lineRule="exact"/>
        <w:ind w:firstLine="643" w:firstLineChars="200"/>
        <w:rPr>
          <w:rFonts w:hint="eastAsia" w:ascii="仿宋_GB2312" w:hAnsi="宋体" w:eastAsia="仿宋_GB2312" w:cs="宋体"/>
          <w:bCs/>
          <w:kern w:val="36"/>
          <w:sz w:val="32"/>
          <w:szCs w:val="32"/>
          <w:lang w:eastAsia="zh-CN"/>
        </w:rPr>
      </w:pPr>
      <w:r>
        <w:rPr>
          <w:rFonts w:hint="eastAsia" w:ascii="仿宋_GB2312" w:hAnsi="宋体" w:eastAsia="仿宋_GB2312" w:cs="宋体"/>
          <w:b/>
          <w:bCs/>
          <w:kern w:val="36"/>
          <w:sz w:val="32"/>
          <w:szCs w:val="32"/>
        </w:rPr>
        <w:t>支出增减情况。</w:t>
      </w:r>
      <w:r>
        <w:rPr>
          <w:rFonts w:hint="eastAsia" w:ascii="仿宋_GB2312" w:hAnsi="宋体" w:eastAsia="仿宋_GB2312" w:cs="宋体"/>
          <w:bCs/>
          <w:kern w:val="36"/>
          <w:sz w:val="32"/>
          <w:szCs w:val="32"/>
        </w:rPr>
        <w:t>20</w:t>
      </w:r>
      <w:r>
        <w:rPr>
          <w:rFonts w:ascii="仿宋_GB2312" w:hAnsi="宋体" w:eastAsia="仿宋_GB2312" w:cs="宋体"/>
          <w:bCs/>
          <w:kern w:val="36"/>
          <w:sz w:val="32"/>
          <w:szCs w:val="32"/>
        </w:rPr>
        <w:t>22</w:t>
      </w:r>
      <w:r>
        <w:rPr>
          <w:rFonts w:hint="eastAsia" w:ascii="仿宋_GB2312" w:hAnsi="宋体" w:eastAsia="仿宋_GB2312" w:cs="宋体"/>
          <w:bCs/>
          <w:kern w:val="36"/>
          <w:sz w:val="32"/>
          <w:szCs w:val="32"/>
        </w:rPr>
        <w:t>年，调兵山市城市发展服务中心部门决算总支出612.40万元，同比</w:t>
      </w:r>
      <w:r>
        <w:rPr>
          <w:rFonts w:hint="eastAsia" w:ascii="仿宋_GB2312" w:hAnsi="宋体" w:eastAsia="仿宋_GB2312" w:cs="宋体"/>
          <w:bCs/>
          <w:kern w:val="36"/>
          <w:sz w:val="32"/>
          <w:szCs w:val="32"/>
          <w:lang w:eastAsia="zh-CN"/>
        </w:rPr>
        <w:t>减</w:t>
      </w:r>
      <w:r>
        <w:rPr>
          <w:rFonts w:hint="eastAsia" w:ascii="仿宋_GB2312" w:hAnsi="宋体" w:eastAsia="仿宋_GB2312" w:cs="宋体"/>
          <w:bCs/>
          <w:kern w:val="36"/>
          <w:sz w:val="32"/>
          <w:szCs w:val="32"/>
        </w:rPr>
        <w:t xml:space="preserve">支出   </w:t>
      </w:r>
      <w:r>
        <w:rPr>
          <w:rFonts w:hint="eastAsia" w:ascii="仿宋_GB2312" w:hAnsi="宋体" w:eastAsia="仿宋_GB2312" w:cs="宋体"/>
          <w:bCs/>
          <w:kern w:val="36"/>
          <w:sz w:val="32"/>
          <w:szCs w:val="32"/>
          <w:lang w:val="en-US" w:eastAsia="zh-CN"/>
        </w:rPr>
        <w:t>208.30</w:t>
      </w:r>
      <w:r>
        <w:rPr>
          <w:rFonts w:hint="eastAsia" w:ascii="仿宋_GB2312" w:hAnsi="宋体" w:eastAsia="仿宋_GB2312" w:cs="宋体"/>
          <w:bCs/>
          <w:kern w:val="36"/>
          <w:sz w:val="32"/>
          <w:szCs w:val="32"/>
        </w:rPr>
        <w:t xml:space="preserve">  万元，</w:t>
      </w:r>
      <w:r>
        <w:rPr>
          <w:rFonts w:hint="eastAsia" w:ascii="仿宋_GB2312" w:hAnsi="宋体" w:eastAsia="仿宋_GB2312" w:cs="宋体"/>
          <w:bCs/>
          <w:kern w:val="36"/>
          <w:sz w:val="32"/>
          <w:szCs w:val="32"/>
          <w:lang w:eastAsia="zh-CN"/>
        </w:rPr>
        <w:t>减</w:t>
      </w:r>
      <w:r>
        <w:rPr>
          <w:rFonts w:hint="eastAsia" w:ascii="仿宋_GB2312" w:hAnsi="宋体" w:eastAsia="仿宋_GB2312" w:cs="宋体"/>
          <w:bCs/>
          <w:kern w:val="36"/>
          <w:sz w:val="32"/>
          <w:szCs w:val="32"/>
        </w:rPr>
        <w:t xml:space="preserve">幅  </w:t>
      </w:r>
      <w:r>
        <w:rPr>
          <w:rFonts w:hint="eastAsia" w:ascii="仿宋_GB2312" w:hAnsi="宋体" w:eastAsia="仿宋_GB2312" w:cs="宋体"/>
          <w:bCs/>
          <w:kern w:val="36"/>
          <w:sz w:val="32"/>
          <w:szCs w:val="32"/>
          <w:lang w:val="en-US" w:eastAsia="zh-CN"/>
        </w:rPr>
        <w:t>26</w:t>
      </w:r>
      <w:r>
        <w:rPr>
          <w:rFonts w:hint="eastAsia" w:ascii="仿宋_GB2312" w:hAnsi="宋体" w:eastAsia="仿宋_GB2312" w:cs="宋体"/>
          <w:bCs/>
          <w:kern w:val="36"/>
          <w:sz w:val="32"/>
          <w:szCs w:val="32"/>
        </w:rPr>
        <w:t xml:space="preserve">  %，减支出的主要原因：</w:t>
      </w:r>
      <w:r>
        <w:rPr>
          <w:rFonts w:hint="eastAsia" w:ascii="仿宋_GB2312" w:hAnsi="宋体" w:eastAsia="仿宋_GB2312" w:cs="宋体"/>
          <w:bCs/>
          <w:kern w:val="36"/>
          <w:sz w:val="32"/>
          <w:szCs w:val="32"/>
          <w:lang w:eastAsia="zh-CN"/>
        </w:rPr>
        <w:t>调兵山市综合执法局从中心调出</w:t>
      </w:r>
    </w:p>
    <w:p>
      <w:pPr>
        <w:adjustRightInd w:val="0"/>
        <w:snapToGrid w:val="0"/>
        <w:spacing w:line="560" w:lineRule="exact"/>
        <w:ind w:firstLine="645"/>
        <w:rPr>
          <w:rFonts w:hint="eastAsia" w:ascii="黑体" w:hAnsi="黑体" w:eastAsia="黑体" w:cs="宋体"/>
          <w:bCs/>
          <w:kern w:val="36"/>
          <w:sz w:val="32"/>
          <w:szCs w:val="32"/>
        </w:rPr>
      </w:pPr>
      <w:r>
        <w:rPr>
          <w:rFonts w:hint="eastAsia" w:ascii="黑体" w:hAnsi="黑体" w:eastAsia="黑体" w:cs="宋体"/>
          <w:bCs/>
          <w:kern w:val="36"/>
          <w:sz w:val="32"/>
          <w:szCs w:val="32"/>
        </w:rPr>
        <w:t>（三）年末结转和结余 0 万元</w:t>
      </w:r>
    </w:p>
    <w:p>
      <w:pPr>
        <w:adjustRightInd w:val="0"/>
        <w:snapToGrid w:val="0"/>
        <w:spacing w:line="560" w:lineRule="exact"/>
        <w:ind w:firstLine="640" w:firstLineChars="200"/>
        <w:rPr>
          <w:rFonts w:hint="eastAsia" w:ascii="仿宋_GB2312" w:hAnsi="宋体" w:eastAsia="仿宋_GB2312" w:cs="宋体"/>
          <w:bCs/>
          <w:kern w:val="36"/>
          <w:sz w:val="32"/>
          <w:szCs w:val="32"/>
          <w:lang w:eastAsia="zh-CN"/>
        </w:rPr>
      </w:pPr>
      <w:r>
        <w:rPr>
          <w:rFonts w:hint="eastAsia" w:ascii="仿宋_GB2312" w:hAnsi="宋体" w:eastAsia="仿宋_GB2312" w:cs="宋体"/>
          <w:bCs/>
          <w:kern w:val="36"/>
          <w:sz w:val="32"/>
          <w:szCs w:val="32"/>
        </w:rPr>
        <w:t>主要是部分未完成项目需下年度继续使用的资金。与上年年末结转和结余 0      万元相比，今年增减  0   万元，增长（下降）   %</w:t>
      </w:r>
      <w:r>
        <w:rPr>
          <w:rFonts w:hint="eastAsia" w:ascii="仿宋_GB2312" w:hAnsi="宋体" w:eastAsia="仿宋_GB2312" w:cs="宋体"/>
          <w:bCs/>
          <w:kern w:val="36"/>
          <w:sz w:val="32"/>
          <w:szCs w:val="32"/>
          <w:lang w:eastAsia="zh-CN"/>
        </w:rPr>
        <w:t>。</w:t>
      </w:r>
    </w:p>
    <w:p>
      <w:pPr>
        <w:widowControl/>
        <w:adjustRightInd w:val="0"/>
        <w:spacing w:before="100" w:beforeAutospacing="1" w:after="100" w:afterAutospacing="1" w:line="560" w:lineRule="exact"/>
        <w:ind w:left="638" w:leftChars="304"/>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二、2022年部门财政拨款支出决算情况</w:t>
      </w:r>
      <w:r>
        <w:rPr>
          <w:rFonts w:ascii="宋体" w:hAnsi="宋体" w:eastAsia="宋体" w:cs="宋体"/>
          <w:color w:val="222222"/>
          <w:kern w:val="0"/>
          <w:sz w:val="24"/>
          <w:szCs w:val="24"/>
        </w:rPr>
        <w:br w:type="textWrapping"/>
      </w:r>
      <w:r>
        <w:rPr>
          <w:rFonts w:hint="eastAsia" w:ascii="黑体" w:hAnsi="黑体" w:eastAsia="黑体" w:cs="宋体"/>
          <w:bCs/>
          <w:color w:val="222222"/>
          <w:kern w:val="36"/>
          <w:sz w:val="32"/>
          <w:szCs w:val="32"/>
        </w:rPr>
        <w:t>（一）总体情况</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财政拨款支出决算反映</w:t>
      </w:r>
      <w:r>
        <w:rPr>
          <w:rFonts w:hint="eastAsia" w:ascii="仿宋" w:hAnsi="仿宋" w:eastAsia="仿宋" w:cs="仿宋"/>
          <w:b w:val="0"/>
          <w:bCs/>
          <w:kern w:val="36"/>
          <w:sz w:val="32"/>
          <w:szCs w:val="32"/>
        </w:rPr>
        <w:t>调兵山市城市发展服务中心</w:t>
      </w:r>
      <w:r>
        <w:rPr>
          <w:rFonts w:hint="eastAsia" w:ascii="仿宋" w:hAnsi="仿宋" w:eastAsia="仿宋" w:cs="仿宋"/>
          <w:b w:val="0"/>
          <w:bCs/>
          <w:color w:val="222222"/>
          <w:kern w:val="36"/>
          <w:sz w:val="32"/>
          <w:szCs w:val="32"/>
        </w:rPr>
        <w:t>2022年部门决算表</w:t>
      </w:r>
      <w:r>
        <w:rPr>
          <w:rFonts w:hint="eastAsia" w:ascii="仿宋_GB2312" w:hAnsi="宋体" w:eastAsia="仿宋_GB2312" w:cs="宋体"/>
          <w:bCs/>
          <w:color w:val="222222"/>
          <w:kern w:val="36"/>
          <w:sz w:val="32"/>
          <w:szCs w:val="32"/>
        </w:rPr>
        <w:t>部门2022年整体财政拨款支出情况，既包括使用当年财政拨款发生的支出，也包括使用以前年度财政拨款结转和结余资金发生的支出。2022年度财政拨款支出</w:t>
      </w:r>
      <w:r>
        <w:rPr>
          <w:rFonts w:hint="eastAsia" w:ascii="仿宋_GB2312" w:hAnsi="宋体" w:eastAsia="仿宋_GB2312" w:cs="宋体"/>
          <w:bCs/>
          <w:color w:val="222222"/>
          <w:kern w:val="36"/>
          <w:sz w:val="32"/>
          <w:szCs w:val="32"/>
          <w:lang w:val="en-US" w:eastAsia="zh-CN"/>
        </w:rPr>
        <w:t>612.40</w:t>
      </w:r>
      <w:r>
        <w:rPr>
          <w:rFonts w:hint="eastAsia" w:ascii="仿宋_GB2312" w:hAnsi="宋体" w:eastAsia="仿宋_GB2312" w:cs="宋体"/>
          <w:bCs/>
          <w:color w:val="222222"/>
          <w:kern w:val="36"/>
          <w:sz w:val="32"/>
          <w:szCs w:val="32"/>
        </w:rPr>
        <w:t>万元，其中：基本支出</w:t>
      </w:r>
      <w:r>
        <w:rPr>
          <w:rFonts w:hint="eastAsia" w:ascii="仿宋_GB2312" w:hAnsi="宋体" w:eastAsia="仿宋_GB2312" w:cs="宋体"/>
          <w:bCs/>
          <w:color w:val="222222"/>
          <w:kern w:val="36"/>
          <w:sz w:val="32"/>
          <w:szCs w:val="32"/>
          <w:lang w:val="en-US" w:eastAsia="zh-CN"/>
        </w:rPr>
        <w:t>612.40</w:t>
      </w:r>
      <w:r>
        <w:rPr>
          <w:rFonts w:hint="eastAsia" w:ascii="仿宋_GB2312" w:hAnsi="宋体" w:eastAsia="仿宋_GB2312" w:cs="宋体"/>
          <w:bCs/>
          <w:color w:val="222222"/>
          <w:kern w:val="36"/>
          <w:sz w:val="32"/>
          <w:szCs w:val="32"/>
        </w:rPr>
        <w:t>万元，项目支出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万元。与年初预算</w:t>
      </w:r>
      <w:r>
        <w:rPr>
          <w:rFonts w:hint="eastAsia" w:ascii="仿宋_GB2312" w:hAnsi="宋体" w:eastAsia="仿宋_GB2312" w:cs="宋体"/>
          <w:bCs/>
          <w:color w:val="222222"/>
          <w:kern w:val="36"/>
          <w:sz w:val="32"/>
          <w:szCs w:val="32"/>
          <w:lang w:val="en-US" w:eastAsia="zh-CN"/>
        </w:rPr>
        <w:t>512.22</w:t>
      </w:r>
      <w:r>
        <w:rPr>
          <w:rFonts w:hint="eastAsia" w:ascii="仿宋_GB2312" w:hAnsi="宋体" w:eastAsia="仿宋_GB2312" w:cs="宋体"/>
          <w:bCs/>
          <w:color w:val="222222"/>
          <w:kern w:val="36"/>
          <w:sz w:val="32"/>
          <w:szCs w:val="32"/>
        </w:rPr>
        <w:t xml:space="preserve">万元相比，2022年财政拨款支出完成年初预算的 </w:t>
      </w:r>
      <w:r>
        <w:rPr>
          <w:rFonts w:hint="eastAsia" w:ascii="仿宋_GB2312" w:hAnsi="宋体" w:eastAsia="仿宋_GB2312" w:cs="宋体"/>
          <w:bCs/>
          <w:color w:val="222222"/>
          <w:kern w:val="36"/>
          <w:sz w:val="32"/>
          <w:szCs w:val="32"/>
          <w:lang w:val="en-US" w:eastAsia="zh-CN"/>
        </w:rPr>
        <w:t>120</w:t>
      </w:r>
      <w:r>
        <w:rPr>
          <w:rFonts w:hint="eastAsia" w:ascii="仿宋_GB2312" w:hAnsi="宋体" w:eastAsia="仿宋_GB2312" w:cs="宋体"/>
          <w:bCs/>
          <w:color w:val="222222"/>
          <w:kern w:val="36"/>
          <w:sz w:val="32"/>
          <w:szCs w:val="32"/>
        </w:rPr>
        <w:t>%，其中：基本支出完成年初预算的</w:t>
      </w:r>
      <w:r>
        <w:rPr>
          <w:rFonts w:hint="eastAsia" w:ascii="仿宋_GB2312" w:hAnsi="宋体" w:eastAsia="仿宋_GB2312" w:cs="宋体"/>
          <w:bCs/>
          <w:color w:val="222222"/>
          <w:kern w:val="36"/>
          <w:sz w:val="32"/>
          <w:szCs w:val="32"/>
          <w:lang w:val="en-US" w:eastAsia="zh-CN"/>
        </w:rPr>
        <w:t>120</w:t>
      </w:r>
      <w:r>
        <w:rPr>
          <w:rFonts w:hint="eastAsia" w:ascii="仿宋_GB2312" w:hAnsi="宋体" w:eastAsia="仿宋_GB2312" w:cs="宋体"/>
          <w:bCs/>
          <w:color w:val="222222"/>
          <w:kern w:val="36"/>
          <w:sz w:val="32"/>
          <w:szCs w:val="32"/>
        </w:rPr>
        <w:t xml:space="preserve"> %，项目支出完成年初预算的</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w:t>
      </w:r>
    </w:p>
    <w:p>
      <w:pPr>
        <w:widowControl/>
        <w:adjustRightInd w:val="0"/>
        <w:spacing w:before="100" w:beforeAutospacing="1" w:after="100" w:afterAutospacing="1" w:line="560" w:lineRule="exact"/>
        <w:ind w:left="638" w:leftChars="304"/>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（二）具体情况</w:t>
      </w:r>
    </w:p>
    <w:p>
      <w:pPr>
        <w:widowControl/>
        <w:adjustRightInd w:val="0"/>
        <w:spacing w:before="100" w:beforeAutospacing="1" w:after="100" w:afterAutospacing="1" w:line="560" w:lineRule="exact"/>
        <w:ind w:firstLine="800" w:firstLineChars="25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按支出功能分类科目分，包括一般公共服务支出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万元，国防支出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万元，公共安全支出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万元，教育支出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万元，科学技术支出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 万元，文化旅游体育与传媒支出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万元，社会保障和就业支出 </w:t>
      </w:r>
      <w:r>
        <w:rPr>
          <w:rFonts w:hint="eastAsia" w:ascii="仿宋_GB2312" w:hAnsi="宋体" w:eastAsia="仿宋_GB2312" w:cs="宋体"/>
          <w:bCs/>
          <w:color w:val="222222"/>
          <w:kern w:val="36"/>
          <w:sz w:val="32"/>
          <w:szCs w:val="32"/>
          <w:lang w:val="en-US" w:eastAsia="zh-CN"/>
        </w:rPr>
        <w:t>114.50</w:t>
      </w:r>
      <w:r>
        <w:rPr>
          <w:rFonts w:hint="eastAsia" w:ascii="仿宋_GB2312" w:hAnsi="宋体" w:eastAsia="仿宋_GB2312" w:cs="宋体"/>
          <w:bCs/>
          <w:color w:val="222222"/>
          <w:kern w:val="36"/>
          <w:sz w:val="32"/>
          <w:szCs w:val="32"/>
        </w:rPr>
        <w:t>万元，卫生健康支出</w:t>
      </w:r>
      <w:r>
        <w:rPr>
          <w:rFonts w:hint="eastAsia" w:ascii="仿宋_GB2312" w:hAnsi="宋体" w:eastAsia="仿宋_GB2312" w:cs="宋体"/>
          <w:bCs/>
          <w:color w:val="222222"/>
          <w:kern w:val="36"/>
          <w:sz w:val="32"/>
          <w:szCs w:val="32"/>
          <w:lang w:val="en-US" w:eastAsia="zh-CN"/>
        </w:rPr>
        <w:t>24.56</w:t>
      </w:r>
      <w:r>
        <w:rPr>
          <w:rFonts w:hint="eastAsia" w:ascii="仿宋_GB2312" w:hAnsi="宋体" w:eastAsia="仿宋_GB2312" w:cs="宋体"/>
          <w:bCs/>
          <w:color w:val="222222"/>
          <w:kern w:val="36"/>
          <w:sz w:val="32"/>
          <w:szCs w:val="32"/>
        </w:rPr>
        <w:t xml:space="preserve">万元，节能环保支出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万元，城乡社区支出</w:t>
      </w:r>
      <w:r>
        <w:rPr>
          <w:rFonts w:hint="eastAsia" w:ascii="仿宋_GB2312" w:hAnsi="宋体" w:eastAsia="仿宋_GB2312" w:cs="宋体"/>
          <w:bCs/>
          <w:color w:val="222222"/>
          <w:kern w:val="36"/>
          <w:sz w:val="32"/>
          <w:szCs w:val="32"/>
          <w:lang w:val="en-US" w:eastAsia="zh-CN"/>
        </w:rPr>
        <w:t>432.90</w:t>
      </w:r>
      <w:r>
        <w:rPr>
          <w:rFonts w:hint="eastAsia" w:ascii="仿宋_GB2312" w:hAnsi="宋体" w:eastAsia="仿宋_GB2312" w:cs="宋体"/>
          <w:bCs/>
          <w:color w:val="222222"/>
          <w:kern w:val="36"/>
          <w:sz w:val="32"/>
          <w:szCs w:val="32"/>
        </w:rPr>
        <w:t>万元，农林水支出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 万元，交通运输支出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万元，资源勘探信息等支出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万元，商业服务业等支出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元，金融支出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万元，援助其他地区支出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万元，自然资源海洋气象等支出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万元，住房保障支出</w:t>
      </w:r>
      <w:r>
        <w:rPr>
          <w:rFonts w:hint="eastAsia" w:ascii="仿宋_GB2312" w:hAnsi="宋体" w:eastAsia="仿宋_GB2312" w:cs="宋体"/>
          <w:bCs/>
          <w:color w:val="222222"/>
          <w:kern w:val="36"/>
          <w:sz w:val="32"/>
          <w:szCs w:val="32"/>
          <w:lang w:val="en-US" w:eastAsia="zh-CN"/>
        </w:rPr>
        <w:t>40.44</w:t>
      </w:r>
      <w:r>
        <w:rPr>
          <w:rFonts w:hint="eastAsia" w:ascii="仿宋_GB2312" w:hAnsi="宋体" w:eastAsia="仿宋_GB2312" w:cs="宋体"/>
          <w:bCs/>
          <w:color w:val="222222"/>
          <w:kern w:val="36"/>
          <w:sz w:val="32"/>
          <w:szCs w:val="32"/>
        </w:rPr>
        <w:t xml:space="preserve">万元，粮油物资储备支出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万元，灾害防治及应急管理支出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万元，其他支出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 万元，抗疫特别国债安排的支出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三、2022年“三公”经费决算情况说明</w:t>
      </w:r>
    </w:p>
    <w:p>
      <w:pPr>
        <w:widowControl/>
        <w:adjustRightInd w:val="0"/>
        <w:spacing w:before="100" w:beforeAutospacing="1" w:after="100" w:afterAutospacing="1" w:line="560" w:lineRule="exact"/>
        <w:ind w:firstLine="800" w:firstLineChars="25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xml:space="preserve">2022年“三公”经费决算数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万元，其中：因公出国（境）</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万元，公务待费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万元，公务用车运行费</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万元，公务用车购置</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万元。2022年决算数比（上年）决算数增加</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万元，其中：公务用车运行费比（上年）增加 </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万元，主要是</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。公务用购置及保有量</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台，国内公务接待累计批次</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次、人数</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人。</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黑体" w:hAnsi="黑体" w:eastAsia="黑体" w:cs="宋体"/>
          <w:bCs/>
          <w:color w:val="222222"/>
          <w:kern w:val="36"/>
          <w:sz w:val="32"/>
          <w:szCs w:val="32"/>
        </w:rPr>
        <w:t>四、一般公共预算财政拨款基本支出决算情况说明</w:t>
      </w:r>
    </w:p>
    <w:p>
      <w:pPr>
        <w:adjustRightInd w:val="0"/>
        <w:snapToGrid w:val="0"/>
        <w:spacing w:line="560" w:lineRule="exact"/>
        <w:ind w:firstLine="640" w:firstLineChars="200"/>
        <w:rPr>
          <w:rFonts w:hint="eastAsia" w:ascii="仿宋_GB2312" w:hAnsi="宋体" w:eastAsia="仿宋_GB2312" w:cs="宋体"/>
          <w:bCs/>
          <w:kern w:val="36"/>
          <w:sz w:val="32"/>
          <w:szCs w:val="32"/>
        </w:rPr>
      </w:pPr>
      <w:r>
        <w:rPr>
          <w:rFonts w:hint="eastAsia" w:ascii="仿宋_GB2312" w:hAnsi="宋体" w:eastAsia="仿宋_GB2312" w:cs="宋体"/>
          <w:bCs/>
          <w:kern w:val="36"/>
          <w:sz w:val="32"/>
          <w:szCs w:val="32"/>
        </w:rPr>
        <w:t>20</w:t>
      </w:r>
      <w:r>
        <w:rPr>
          <w:rFonts w:ascii="仿宋_GB2312" w:hAnsi="宋体" w:eastAsia="仿宋_GB2312" w:cs="宋体"/>
          <w:bCs/>
          <w:kern w:val="36"/>
          <w:sz w:val="32"/>
          <w:szCs w:val="32"/>
        </w:rPr>
        <w:t>22</w:t>
      </w:r>
      <w:r>
        <w:rPr>
          <w:rFonts w:hint="eastAsia" w:ascii="仿宋_GB2312" w:hAnsi="宋体" w:eastAsia="仿宋_GB2312" w:cs="宋体"/>
          <w:bCs/>
          <w:kern w:val="36"/>
          <w:sz w:val="32"/>
          <w:szCs w:val="32"/>
        </w:rPr>
        <w:t>年度一般公共预算财政拨款基本支出</w:t>
      </w:r>
      <w:r>
        <w:rPr>
          <w:rFonts w:ascii="仿宋_GB2312" w:hAnsi="宋体" w:eastAsia="仿宋_GB2312" w:cs="宋体"/>
          <w:bCs/>
          <w:kern w:val="36"/>
          <w:sz w:val="32"/>
          <w:szCs w:val="32"/>
        </w:rPr>
        <w:t>612.40</w:t>
      </w:r>
      <w:r>
        <w:rPr>
          <w:rFonts w:hint="eastAsia" w:ascii="仿宋_GB2312" w:hAnsi="宋体" w:eastAsia="仿宋_GB2312" w:cs="宋体"/>
          <w:bCs/>
          <w:kern w:val="36"/>
          <w:sz w:val="32"/>
          <w:szCs w:val="32"/>
        </w:rPr>
        <w:t>万元，其中：人员经费</w:t>
      </w:r>
      <w:r>
        <w:rPr>
          <w:rFonts w:ascii="仿宋_GB2312" w:hAnsi="宋体" w:eastAsia="仿宋_GB2312" w:cs="宋体"/>
          <w:bCs/>
          <w:kern w:val="36"/>
          <w:sz w:val="32"/>
          <w:szCs w:val="32"/>
        </w:rPr>
        <w:t>482.98</w:t>
      </w:r>
      <w:r>
        <w:rPr>
          <w:rFonts w:hint="eastAsia" w:ascii="仿宋_GB2312" w:hAnsi="宋体" w:eastAsia="仿宋_GB2312" w:cs="宋体"/>
          <w:bCs/>
          <w:kern w:val="36"/>
          <w:sz w:val="32"/>
          <w:szCs w:val="32"/>
        </w:rPr>
        <w:t>万元，主要包括基本工资</w:t>
      </w:r>
      <w:r>
        <w:rPr>
          <w:rFonts w:ascii="仿宋_GB2312" w:hAnsi="宋体" w:eastAsia="仿宋_GB2312" w:cs="宋体"/>
          <w:bCs/>
          <w:kern w:val="36"/>
          <w:sz w:val="32"/>
          <w:szCs w:val="32"/>
        </w:rPr>
        <w:t>163.08</w:t>
      </w:r>
      <w:r>
        <w:rPr>
          <w:rFonts w:hint="eastAsia" w:ascii="仿宋_GB2312" w:hAnsi="宋体" w:eastAsia="仿宋_GB2312" w:cs="宋体"/>
          <w:bCs/>
          <w:kern w:val="36"/>
          <w:sz w:val="32"/>
          <w:szCs w:val="32"/>
        </w:rPr>
        <w:t>万元、津贴补贴</w:t>
      </w:r>
      <w:r>
        <w:rPr>
          <w:rFonts w:ascii="仿宋_GB2312" w:hAnsi="宋体" w:eastAsia="仿宋_GB2312" w:cs="宋体"/>
          <w:bCs/>
          <w:kern w:val="36"/>
          <w:sz w:val="32"/>
          <w:szCs w:val="32"/>
        </w:rPr>
        <w:t>153.02</w:t>
      </w:r>
      <w:r>
        <w:rPr>
          <w:rFonts w:hint="eastAsia" w:ascii="仿宋_GB2312" w:hAnsi="宋体" w:eastAsia="仿宋_GB2312" w:cs="宋体"/>
          <w:bCs/>
          <w:kern w:val="36"/>
          <w:sz w:val="32"/>
          <w:szCs w:val="32"/>
        </w:rPr>
        <w:t>万元、奖金</w:t>
      </w:r>
      <w:r>
        <w:rPr>
          <w:rFonts w:ascii="仿宋_GB2312" w:hAnsi="宋体" w:eastAsia="仿宋_GB2312" w:cs="宋体"/>
          <w:bCs/>
          <w:kern w:val="36"/>
          <w:sz w:val="32"/>
          <w:szCs w:val="32"/>
        </w:rPr>
        <w:t>25.32</w:t>
      </w:r>
      <w:r>
        <w:rPr>
          <w:rFonts w:hint="eastAsia" w:ascii="仿宋_GB2312" w:hAnsi="宋体" w:eastAsia="仿宋_GB2312" w:cs="宋体"/>
          <w:bCs/>
          <w:kern w:val="36"/>
          <w:sz w:val="32"/>
          <w:szCs w:val="32"/>
        </w:rPr>
        <w:t>万元、绩效补贴7.35万元，其他社会保障缴费50.86万元、机关事业保险缴费63.48万元、职业年金51.02万元、职工医疗保险缴费24.56万元、住房公积金40.44万元、其它工资福利支出0万元；公用经费29.24万元，主要包括办公费3.74万元、印刷费1.18万元、水费0.66万元、邮电费0.10万元、差旅费0.40万元、维修费0.39万元、专用材料费3.0万元、劳务费4.17万元、工会经费2.38万元，其它商品服务支出5.12万元，生活补贴2.85万元，其它对个人和家庭的补贴1.49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五、其他重要事项的情况说明</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（一）机关运行经费支出情况</w:t>
      </w:r>
    </w:p>
    <w:p>
      <w:pPr>
        <w:adjustRightInd w:val="0"/>
        <w:snapToGrid w:val="0"/>
        <w:spacing w:line="560" w:lineRule="exact"/>
        <w:ind w:firstLine="640" w:firstLineChars="200"/>
        <w:rPr>
          <w:rFonts w:hint="eastAsia" w:ascii="仿宋_GB2312" w:hAnsi="宋体" w:eastAsia="仿宋_GB2312" w:cs="宋体"/>
          <w:bCs/>
          <w:kern w:val="36"/>
          <w:sz w:val="32"/>
          <w:szCs w:val="32"/>
          <w:lang w:eastAsia="zh-CN"/>
        </w:rPr>
      </w:pPr>
      <w:r>
        <w:rPr>
          <w:rFonts w:hint="eastAsia" w:ascii="仿宋_GB2312" w:hAnsi="宋体" w:eastAsia="仿宋_GB2312" w:cs="宋体"/>
          <w:bCs/>
          <w:color w:val="222222"/>
          <w:kern w:val="36"/>
          <w:sz w:val="32"/>
          <w:szCs w:val="32"/>
        </w:rPr>
        <w:t>2022年</w:t>
      </w:r>
      <w:r>
        <w:rPr>
          <w:rFonts w:hint="eastAsia" w:ascii="仿宋" w:hAnsi="仿宋" w:eastAsia="仿宋" w:cs="仿宋"/>
          <w:b w:val="0"/>
          <w:bCs/>
          <w:kern w:val="36"/>
          <w:sz w:val="32"/>
          <w:szCs w:val="32"/>
        </w:rPr>
        <w:t>调兵山市城市发展服务中心</w:t>
      </w:r>
      <w:r>
        <w:rPr>
          <w:rFonts w:hint="eastAsia" w:ascii="仿宋" w:hAnsi="仿宋" w:eastAsia="仿宋" w:cs="仿宋"/>
          <w:b w:val="0"/>
          <w:bCs/>
          <w:color w:val="222222"/>
          <w:kern w:val="36"/>
          <w:sz w:val="32"/>
          <w:szCs w:val="32"/>
        </w:rPr>
        <w:t>2022年部门决算表</w:t>
      </w:r>
      <w:r>
        <w:rPr>
          <w:rFonts w:hint="eastAsia" w:ascii="仿宋_GB2312" w:hAnsi="宋体" w:eastAsia="仿宋_GB2312" w:cs="宋体"/>
          <w:bCs/>
          <w:color w:val="222222"/>
          <w:kern w:val="36"/>
          <w:sz w:val="32"/>
          <w:szCs w:val="32"/>
        </w:rPr>
        <w:t>机关运行经费支出</w:t>
      </w:r>
      <w:r>
        <w:rPr>
          <w:rFonts w:hint="eastAsia" w:ascii="仿宋_GB2312" w:hAnsi="宋体" w:eastAsia="仿宋_GB2312" w:cs="宋体"/>
          <w:bCs/>
          <w:color w:val="222222"/>
          <w:kern w:val="36"/>
          <w:sz w:val="32"/>
          <w:szCs w:val="32"/>
          <w:lang w:val="en-US" w:eastAsia="zh-CN"/>
        </w:rPr>
        <w:t>583.48</w:t>
      </w:r>
      <w:r>
        <w:rPr>
          <w:rFonts w:hint="eastAsia" w:ascii="仿宋_GB2312" w:hAnsi="宋体" w:eastAsia="仿宋_GB2312" w:cs="宋体"/>
          <w:bCs/>
          <w:color w:val="222222"/>
          <w:kern w:val="36"/>
          <w:sz w:val="32"/>
          <w:szCs w:val="32"/>
        </w:rPr>
        <w:t>万元，比上年</w:t>
      </w:r>
      <w:r>
        <w:rPr>
          <w:rFonts w:hint="eastAsia" w:ascii="仿宋_GB2312" w:hAnsi="宋体" w:eastAsia="仿宋_GB2312" w:cs="宋体"/>
          <w:bCs/>
          <w:color w:val="222222"/>
          <w:kern w:val="36"/>
          <w:sz w:val="32"/>
          <w:szCs w:val="32"/>
          <w:lang w:eastAsia="zh-CN"/>
        </w:rPr>
        <w:t>减少</w:t>
      </w:r>
      <w:r>
        <w:rPr>
          <w:rFonts w:hint="eastAsia" w:ascii="仿宋_GB2312" w:hAnsi="宋体" w:eastAsia="仿宋_GB2312" w:cs="宋体"/>
          <w:bCs/>
          <w:color w:val="222222"/>
          <w:kern w:val="36"/>
          <w:sz w:val="32"/>
          <w:szCs w:val="32"/>
          <w:lang w:val="en-US" w:eastAsia="zh-CN"/>
        </w:rPr>
        <w:t>191.97</w:t>
      </w:r>
      <w:r>
        <w:rPr>
          <w:rFonts w:hint="eastAsia" w:ascii="仿宋_GB2312" w:hAnsi="宋体" w:eastAsia="仿宋_GB2312" w:cs="宋体"/>
          <w:bCs/>
          <w:color w:val="222222"/>
          <w:kern w:val="36"/>
          <w:sz w:val="32"/>
          <w:szCs w:val="32"/>
        </w:rPr>
        <w:t>万元，</w:t>
      </w:r>
      <w:r>
        <w:rPr>
          <w:rFonts w:hint="eastAsia" w:ascii="仿宋_GB2312" w:hAnsi="宋体" w:eastAsia="仿宋_GB2312" w:cs="宋体"/>
          <w:bCs/>
          <w:color w:val="222222"/>
          <w:kern w:val="36"/>
          <w:sz w:val="32"/>
          <w:szCs w:val="32"/>
          <w:lang w:eastAsia="zh-CN"/>
        </w:rPr>
        <w:t>减少</w:t>
      </w:r>
      <w:r>
        <w:rPr>
          <w:rFonts w:hint="eastAsia" w:ascii="仿宋_GB2312" w:hAnsi="宋体" w:eastAsia="仿宋_GB2312" w:cs="宋体"/>
          <w:bCs/>
          <w:color w:val="222222"/>
          <w:kern w:val="36"/>
          <w:sz w:val="32"/>
          <w:szCs w:val="32"/>
          <w:lang w:val="en-US" w:eastAsia="zh-CN"/>
        </w:rPr>
        <w:t>33</w:t>
      </w:r>
      <w:r>
        <w:rPr>
          <w:rFonts w:hint="eastAsia" w:ascii="仿宋_GB2312" w:hAnsi="宋体" w:eastAsia="仿宋_GB2312" w:cs="宋体"/>
          <w:bCs/>
          <w:color w:val="222222"/>
          <w:kern w:val="36"/>
          <w:sz w:val="32"/>
          <w:szCs w:val="32"/>
        </w:rPr>
        <w:t xml:space="preserve">  %，主要原因是</w:t>
      </w:r>
      <w:r>
        <w:rPr>
          <w:rFonts w:hint="eastAsia" w:ascii="仿宋_GB2312" w:hAnsi="宋体" w:eastAsia="仿宋_GB2312" w:cs="宋体"/>
          <w:bCs/>
          <w:kern w:val="36"/>
          <w:sz w:val="32"/>
          <w:szCs w:val="32"/>
          <w:lang w:eastAsia="zh-CN"/>
        </w:rPr>
        <w:t>调兵山市综合执法局从中心调出</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（二）政府采购支出情况</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2022年</w:t>
      </w:r>
      <w:r>
        <w:rPr>
          <w:rFonts w:hint="eastAsia" w:ascii="仿宋" w:hAnsi="仿宋" w:eastAsia="仿宋" w:cs="仿宋"/>
          <w:b w:val="0"/>
          <w:bCs/>
          <w:kern w:val="36"/>
          <w:sz w:val="32"/>
          <w:szCs w:val="32"/>
        </w:rPr>
        <w:t>调兵山市城市发展服务中心</w:t>
      </w:r>
      <w:r>
        <w:rPr>
          <w:rFonts w:hint="eastAsia" w:ascii="仿宋" w:hAnsi="仿宋" w:eastAsia="仿宋" w:cs="仿宋"/>
          <w:b w:val="0"/>
          <w:bCs/>
          <w:color w:val="222222"/>
          <w:kern w:val="36"/>
          <w:sz w:val="32"/>
          <w:szCs w:val="32"/>
        </w:rPr>
        <w:t>2022年部门决算表</w:t>
      </w:r>
      <w:r>
        <w:rPr>
          <w:rFonts w:hint="eastAsia" w:ascii="仿宋" w:hAnsi="仿宋" w:eastAsia="仿宋" w:cs="宋体"/>
          <w:bCs/>
          <w:color w:val="222222"/>
          <w:kern w:val="36"/>
          <w:sz w:val="32"/>
          <w:szCs w:val="32"/>
        </w:rPr>
        <w:t>部门</w:t>
      </w:r>
      <w:r>
        <w:rPr>
          <w:rFonts w:hint="eastAsia" w:ascii="仿宋_GB2312" w:hAnsi="宋体" w:eastAsia="仿宋_GB2312" w:cs="宋体"/>
          <w:bCs/>
          <w:color w:val="222222"/>
          <w:kern w:val="36"/>
          <w:sz w:val="32"/>
          <w:szCs w:val="32"/>
        </w:rPr>
        <w:t>政府采购支出总额</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万元，其中：政府采购货物支出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万元，政府采购工程支出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万元，政府采购服务支出</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万元。</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（三）国有资产占用情况</w:t>
      </w:r>
    </w:p>
    <w:p>
      <w:pPr>
        <w:widowControl/>
        <w:adjustRightInd w:val="0"/>
        <w:spacing w:before="100" w:beforeAutospacing="1" w:after="100" w:afterAutospacing="1" w:line="560" w:lineRule="exact"/>
        <w:ind w:firstLine="480" w:firstLineChars="200"/>
        <w:rPr>
          <w:rFonts w:ascii="宋体" w:hAnsi="宋体" w:eastAsia="宋体" w:cs="宋体"/>
          <w:color w:val="222222"/>
          <w:kern w:val="0"/>
          <w:sz w:val="24"/>
          <w:szCs w:val="24"/>
        </w:rPr>
      </w:pPr>
      <w:r>
        <w:rPr>
          <w:rFonts w:hint="eastAsia" w:ascii="Calibri" w:hAnsi="宋体" w:eastAsia="宋体" w:cs="宋体"/>
          <w:color w:val="222222"/>
          <w:kern w:val="0"/>
          <w:sz w:val="24"/>
          <w:szCs w:val="24"/>
        </w:rPr>
        <w:t>　　</w:t>
      </w:r>
      <w:r>
        <w:rPr>
          <w:rFonts w:hint="eastAsia" w:ascii="仿宋_GB2312" w:hAnsi="宋体" w:eastAsia="仿宋_GB2312" w:cs="宋体"/>
          <w:bCs/>
          <w:color w:val="222222"/>
          <w:kern w:val="36"/>
          <w:sz w:val="32"/>
          <w:szCs w:val="32"/>
        </w:rPr>
        <w:t>截至2022年12月31日，</w:t>
      </w:r>
      <w:r>
        <w:rPr>
          <w:rFonts w:hint="eastAsia" w:ascii="仿宋" w:hAnsi="仿宋" w:eastAsia="仿宋" w:cs="仿宋"/>
          <w:b w:val="0"/>
          <w:bCs/>
          <w:kern w:val="36"/>
          <w:sz w:val="32"/>
          <w:szCs w:val="32"/>
        </w:rPr>
        <w:t>调兵山市城市发展服务中心</w:t>
      </w:r>
      <w:r>
        <w:rPr>
          <w:rFonts w:hint="eastAsia" w:ascii="仿宋_GB2312" w:hAnsi="宋体" w:eastAsia="仿宋_GB2312" w:cs="宋体"/>
          <w:bCs/>
          <w:color w:val="222222"/>
          <w:kern w:val="36"/>
          <w:sz w:val="32"/>
          <w:szCs w:val="32"/>
        </w:rPr>
        <w:t>部门共有车辆</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辆，其中：副县级以上领导干部用车</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 xml:space="preserve"> 辆，一般公务用车</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辆，一般执法执勤用车</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辆，特种专业技术用车</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辆，其他用车</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辆；单位价值50万元以上设备</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台（套）,单价100万元以上专用设备</w:t>
      </w:r>
      <w:r>
        <w:rPr>
          <w:rFonts w:hint="eastAsia" w:ascii="仿宋_GB2312" w:hAnsi="宋体" w:eastAsia="仿宋_GB2312" w:cs="宋体"/>
          <w:bCs/>
          <w:color w:val="222222"/>
          <w:kern w:val="36"/>
          <w:sz w:val="32"/>
          <w:szCs w:val="32"/>
          <w:lang w:val="en-US" w:eastAsia="zh-CN"/>
        </w:rPr>
        <w:t>0</w:t>
      </w:r>
      <w:r>
        <w:rPr>
          <w:rFonts w:hint="eastAsia" w:ascii="仿宋_GB2312" w:hAnsi="宋体" w:eastAsia="仿宋_GB2312" w:cs="宋体"/>
          <w:bCs/>
          <w:color w:val="222222"/>
          <w:kern w:val="36"/>
          <w:sz w:val="32"/>
          <w:szCs w:val="32"/>
        </w:rPr>
        <w:t>台（套）。</w:t>
      </w:r>
    </w:p>
    <w:p>
      <w:pPr>
        <w:widowControl/>
        <w:adjustRightInd w:val="0"/>
        <w:spacing w:before="100" w:beforeAutospacing="1" w:after="100" w:afterAutospacing="1" w:line="560" w:lineRule="exact"/>
        <w:ind w:firstLine="645"/>
        <w:rPr>
          <w:rFonts w:ascii="宋体" w:hAnsi="宋体" w:eastAsia="宋体" w:cs="宋体"/>
          <w:color w:val="222222"/>
          <w:kern w:val="0"/>
          <w:sz w:val="24"/>
          <w:szCs w:val="24"/>
        </w:rPr>
      </w:pPr>
      <w:r>
        <w:rPr>
          <w:rFonts w:hint="eastAsia" w:ascii="黑体" w:hAnsi="黑体" w:eastAsia="黑体" w:cs="宋体"/>
          <w:bCs/>
          <w:color w:val="222222"/>
          <w:kern w:val="36"/>
          <w:sz w:val="32"/>
          <w:szCs w:val="32"/>
        </w:rPr>
        <w:t>（四）预算绩效管理工作开展情况</w:t>
      </w:r>
    </w:p>
    <w:p>
      <w:pPr>
        <w:widowControl/>
        <w:adjustRightInd w:val="0"/>
        <w:spacing w:before="100" w:beforeAutospacing="1" w:after="100" w:afterAutospacing="1" w:line="560" w:lineRule="exact"/>
        <w:ind w:firstLine="640" w:firstLineChars="20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根据财政绩效管理要求，我单位组织对2022年度预算项目支出开展了绩效自评，共涉及项目</w:t>
      </w:r>
      <w:r>
        <w:rPr>
          <w:rFonts w:hint="eastAsia" w:ascii="仿宋_GB2312" w:hAnsi="宋体" w:eastAsia="仿宋_GB2312" w:cs="宋体"/>
          <w:bCs/>
          <w:color w:val="222222"/>
          <w:kern w:val="36"/>
          <w:sz w:val="32"/>
          <w:szCs w:val="32"/>
          <w:lang w:val="en-US" w:eastAsia="zh-CN"/>
        </w:rPr>
        <w:t>1</w:t>
      </w:r>
      <w:r>
        <w:rPr>
          <w:rFonts w:hint="eastAsia" w:ascii="仿宋_GB2312" w:hAnsi="宋体" w:eastAsia="仿宋_GB2312" w:cs="宋体"/>
          <w:bCs/>
          <w:color w:val="222222"/>
          <w:kern w:val="36"/>
          <w:sz w:val="32"/>
          <w:szCs w:val="32"/>
        </w:rPr>
        <w:t>个，涉及资金</w:t>
      </w:r>
      <w:r>
        <w:rPr>
          <w:rFonts w:hint="eastAsia" w:ascii="仿宋_GB2312" w:hAnsi="宋体" w:eastAsia="仿宋_GB2312" w:cs="宋体"/>
          <w:bCs/>
          <w:color w:val="222222"/>
          <w:kern w:val="36"/>
          <w:sz w:val="32"/>
          <w:szCs w:val="32"/>
          <w:lang w:val="en-US" w:eastAsia="zh-CN"/>
        </w:rPr>
        <w:t>8.7</w:t>
      </w:r>
      <w:r>
        <w:rPr>
          <w:rFonts w:hint="eastAsia" w:ascii="仿宋_GB2312" w:hAnsi="宋体" w:eastAsia="仿宋_GB2312" w:cs="宋体"/>
          <w:bCs/>
          <w:color w:val="222222"/>
          <w:kern w:val="36"/>
          <w:sz w:val="32"/>
          <w:szCs w:val="32"/>
        </w:rPr>
        <w:t>万元，自评覆盖率（开展绩效自评的项目数/年初批复绩效目标的项目数）达到</w:t>
      </w:r>
      <w:r>
        <w:rPr>
          <w:rFonts w:hint="eastAsia" w:ascii="仿宋_GB2312" w:hAnsi="宋体" w:eastAsia="仿宋_GB2312" w:cs="宋体"/>
          <w:bCs/>
          <w:color w:val="222222"/>
          <w:kern w:val="36"/>
          <w:sz w:val="32"/>
          <w:szCs w:val="32"/>
          <w:lang w:val="en-US" w:eastAsia="zh-CN"/>
        </w:rPr>
        <w:t>100</w:t>
      </w:r>
      <w:r>
        <w:rPr>
          <w:rFonts w:hint="eastAsia" w:ascii="仿宋_GB2312" w:hAnsi="宋体" w:eastAsia="仿宋_GB2312" w:cs="宋体"/>
          <w:bCs/>
          <w:color w:val="222222"/>
          <w:kern w:val="36"/>
          <w:sz w:val="32"/>
          <w:szCs w:val="32"/>
        </w:rPr>
        <w:t>%，自评平均分（开展绩效自评的项目分数总和/开展绩效自评的项目数）为</w:t>
      </w:r>
      <w:r>
        <w:rPr>
          <w:rFonts w:hint="eastAsia" w:ascii="仿宋_GB2312" w:hAnsi="宋体" w:eastAsia="仿宋_GB2312" w:cs="宋体"/>
          <w:bCs/>
          <w:color w:val="222222"/>
          <w:kern w:val="36"/>
          <w:sz w:val="32"/>
          <w:szCs w:val="32"/>
          <w:lang w:val="en-US" w:eastAsia="zh-CN"/>
        </w:rPr>
        <w:t>96</w:t>
      </w:r>
      <w:r>
        <w:rPr>
          <w:rFonts w:hint="eastAsia" w:ascii="仿宋_GB2312" w:hAnsi="宋体" w:eastAsia="仿宋_GB2312" w:cs="宋体"/>
          <w:bCs/>
          <w:color w:val="222222"/>
          <w:kern w:val="36"/>
          <w:sz w:val="32"/>
          <w:szCs w:val="32"/>
        </w:rPr>
        <w:t>分。</w:t>
      </w:r>
    </w:p>
    <w:p>
      <w:pPr>
        <w:widowControl/>
        <w:adjustRightInd w:val="0"/>
        <w:spacing w:before="100" w:beforeAutospacing="1" w:after="100" w:afterAutospacing="1" w:line="560" w:lineRule="exact"/>
        <w:ind w:firstLine="640" w:firstLineChars="200"/>
        <w:rPr>
          <w:rFonts w:hint="eastAsia" w:ascii="仿宋" w:hAnsi="仿宋" w:eastAsia="仿宋" w:cs="仿宋"/>
          <w:color w:val="000000"/>
          <w:kern w:val="0"/>
          <w:sz w:val="32"/>
          <w:szCs w:val="32"/>
        </w:rPr>
      </w:pPr>
      <w:r>
        <w:rPr>
          <w:rFonts w:hint="eastAsia" w:ascii="仿宋_GB2312" w:hAnsi="宋体" w:eastAsia="仿宋_GB2312" w:cs="宋体"/>
          <w:bCs/>
          <w:color w:val="222222"/>
          <w:kern w:val="36"/>
          <w:sz w:val="32"/>
          <w:szCs w:val="32"/>
        </w:rPr>
        <w:t>通过绩效自评发现，我单位在财政预算资金管理中还存在以下问题：一是财政资金使用效率还需提高；二是项目建设需要进一步强化管理；三是节约意识需要加强</w:t>
      </w:r>
      <w:r>
        <w:rPr>
          <w:rFonts w:hint="eastAsia" w:ascii="仿宋" w:hAnsi="仿宋" w:eastAsia="仿宋" w:cs="仿宋"/>
          <w:bCs/>
          <w:color w:val="222222"/>
          <w:kern w:val="36"/>
          <w:sz w:val="32"/>
          <w:szCs w:val="32"/>
        </w:rPr>
        <w:t>。</w:t>
      </w:r>
      <w:r>
        <w:rPr>
          <w:rFonts w:hint="eastAsia" w:ascii="仿宋" w:hAnsi="仿宋" w:eastAsia="仿宋" w:cs="仿宋"/>
          <w:bCs/>
          <w:color w:val="222222"/>
          <w:kern w:val="36"/>
          <w:sz w:val="32"/>
          <w:szCs w:val="32"/>
          <w:lang w:eastAsia="zh-CN"/>
        </w:rPr>
        <w:t>四</w:t>
      </w:r>
      <w:r>
        <w:rPr>
          <w:rFonts w:hint="eastAsia" w:ascii="仿宋" w:hAnsi="仿宋" w:eastAsia="仿宋" w:cs="仿宋"/>
          <w:color w:val="000000"/>
          <w:kern w:val="0"/>
          <w:sz w:val="32"/>
          <w:szCs w:val="32"/>
        </w:rPr>
        <w:t>制定了下一步工作计划。（一）规范权利配置一是健全权力制衡制度。缜密划分不同权力的使用范围，针对别的权力特征和作用，建立职权清晰、责任明确、既相互约制又相互协调的权力制衡机制。二是完善权责体系。进一步明晰内部机构设置、权力事项、岗位职责等相关情况，实现权力、岗位、责任和制度的有机结合，逐步形成一套成熟的权责体系。（二）实施风险防范措施一是针对干部任用、资金使用、行政审批等权力比较集中的重点部位和关键节点，进一步完善风险管理措施，把风险排查、分析、应对等工作落实到具体岗位、具体责任人和具体工作环节。二是进一步健全防控措施。全面整合、补充、优化各项监督制约措施，着力解决现有各种工作规范和制度效用发挥不足，执行力和落实度不到位等问题。</w:t>
      </w:r>
      <w:r>
        <w:rPr>
          <w:rFonts w:hint="eastAsia" w:ascii="仿宋" w:hAnsi="仿宋" w:eastAsia="仿宋" w:cs="仿宋"/>
          <w:color w:val="000000"/>
          <w:kern w:val="0"/>
          <w:sz w:val="32"/>
          <w:szCs w:val="32"/>
          <w:lang w:eastAsia="zh-CN"/>
        </w:rPr>
        <w:t>（</w:t>
      </w:r>
      <w:r>
        <w:rPr>
          <w:rFonts w:hint="eastAsia" w:ascii="仿宋" w:hAnsi="仿宋" w:eastAsia="仿宋" w:cs="仿宋"/>
          <w:color w:val="000000"/>
          <w:kern w:val="0"/>
          <w:sz w:val="32"/>
          <w:szCs w:val="32"/>
        </w:rPr>
        <w:t>三）加强领导，明确责任一是明确领导职责。</w:t>
      </w:r>
    </w:p>
    <w:p>
      <w:pPr>
        <w:rPr>
          <w:rFonts w:hint="eastAsia" w:ascii="仿宋" w:hAnsi="仿宋" w:eastAsia="仿宋" w:cs="仿宋"/>
          <w:color w:val="000000"/>
          <w:kern w:val="0"/>
          <w:sz w:val="32"/>
          <w:szCs w:val="32"/>
        </w:rPr>
      </w:pPr>
      <w:r>
        <w:rPr>
          <w:rFonts w:hint="eastAsia" w:ascii="仿宋_GB2312" w:hAnsi="宋体" w:eastAsia="仿宋_GB2312" w:cs="宋体"/>
          <w:bCs/>
          <w:color w:val="222222"/>
          <w:kern w:val="36"/>
          <w:sz w:val="32"/>
          <w:szCs w:val="32"/>
        </w:rPr>
        <w:t>下一步我单位将采取以下措施加以改进：一是切实履行我单位作为用款人的绩效评价主体责任，强化绩效理念，树立绩效意识。二是充分吸取、运用绩效自评成果，提高资金使用效率。三是牢固树立过紧日子思想，提高节约意识。四是强化项目管理。进一步科学论证、审查项目。五是全面跟踪项目实施进展情况，高效利用有限的财政资金。六是科学设置绩效评价标准，更加符合实际，客观科学。</w:t>
      </w:r>
      <w:r>
        <w:rPr>
          <w:rFonts w:hint="eastAsia" w:ascii="仿宋" w:hAnsi="仿宋" w:eastAsia="仿宋" w:cs="仿宋"/>
          <w:color w:val="000000"/>
          <w:kern w:val="0"/>
          <w:sz w:val="32"/>
          <w:szCs w:val="32"/>
        </w:rPr>
        <w:t>全面扭转管理粗放的被动局面，提高风险防控能力，确保业务和其他各项业务全面，健康，稳定，持续发展。</w:t>
      </w:r>
    </w:p>
    <w:p>
      <w:pPr>
        <w:widowControl/>
        <w:adjustRightInd w:val="0"/>
        <w:spacing w:before="100" w:beforeAutospacing="1" w:after="100" w:afterAutospacing="1" w:line="560" w:lineRule="exact"/>
        <w:ind w:firstLine="1767" w:firstLineChars="400"/>
        <w:jc w:val="both"/>
        <w:rPr>
          <w:rFonts w:ascii="宋体" w:hAnsi="宋体" w:eastAsia="宋体" w:cs="宋体"/>
          <w:color w:val="222222"/>
          <w:kern w:val="0"/>
          <w:sz w:val="24"/>
          <w:szCs w:val="24"/>
        </w:rPr>
      </w:pPr>
      <w:bookmarkStart w:id="0" w:name="_GoBack"/>
      <w:bookmarkEnd w:id="0"/>
      <w:r>
        <w:rPr>
          <w:rFonts w:hint="eastAsia" w:ascii="宋体" w:hAnsi="宋体" w:eastAsia="宋体" w:cs="宋体"/>
          <w:b/>
          <w:bCs/>
          <w:color w:val="222222"/>
          <w:kern w:val="36"/>
          <w:sz w:val="44"/>
          <w:szCs w:val="44"/>
        </w:rPr>
        <w:t>第四部分 名词解释</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1.财政拨款收入：指同级财政当年拨付的资金。</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2.基本支出：指保障机构正常运转、完成日常工作任务而发生的人员支出和公用支出。</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3.项目支出：指在基本支出之外为完成特定行政任务和事业发展目标所发生的支出。</w:t>
      </w:r>
    </w:p>
    <w:p>
      <w:pPr>
        <w:widowControl/>
        <w:adjustRightInd w:val="0"/>
        <w:spacing w:before="100" w:beforeAutospacing="1" w:after="100" w:afterAutospacing="1" w:line="560" w:lineRule="exact"/>
        <w:ind w:firstLine="66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4.行政事业性收费收入：指依据法律、行政法规、国务院有关规定、国务院财政部门会同价格主管部门共同发布的规章或者规定，省、自治区、直辖市人民政府财政部门会同价格主管部门共同发布的规定所收取的各项收费收入。</w:t>
      </w:r>
    </w:p>
    <w:p>
      <w:pPr>
        <w:widowControl/>
        <w:adjustRightInd w:val="0"/>
        <w:spacing w:before="100" w:beforeAutospacing="1" w:after="100" w:afterAutospacing="1" w:line="560" w:lineRule="exact"/>
        <w:ind w:firstLine="660"/>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5.上年结转和结余：指以前年度尚未完成、结转到本年按有关规定继续使用的资金。</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6.政府性基金收入：反映各级政府及其所属部门根据法律、行政法规规定并经国务院或财政部批准，向公民、法人和其他组织征收的政府性基金，以及参照政府性基金管理或纳入基金预算、具有特定用途的财政资金。</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7.其他收入：指除上述“财政拨款收入”、“专项收入”、“行政事业性收费收入”、“政府性基金收入”以外的收入。</w:t>
      </w:r>
    </w:p>
    <w:p>
      <w:pPr>
        <w:widowControl/>
        <w:adjustRightInd w:val="0"/>
        <w:spacing w:before="100" w:beforeAutospacing="1" w:after="100" w:afterAutospacing="1" w:line="560" w:lineRule="exac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　　8.“三公”经费：指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9.一般公共服务（类）财政事务（款）行政运行（项）：反</w:t>
      </w:r>
      <w:r>
        <w:rPr>
          <w:rFonts w:hint="eastAsia" w:ascii="仿宋_GB2312" w:hAnsi="宋体" w:eastAsia="仿宋_GB2312" w:cs="宋体"/>
          <w:color w:val="000000"/>
          <w:kern w:val="0"/>
          <w:sz w:val="32"/>
          <w:szCs w:val="32"/>
        </w:rPr>
        <w:t>映行政单位（包括实行公务员管理的事业单位）的基本支出。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bCs/>
          <w:color w:val="222222"/>
          <w:kern w:val="36"/>
          <w:sz w:val="32"/>
          <w:szCs w:val="32"/>
        </w:rPr>
        <w:t>10.一般公共服务（类）财政事务（款）一般行政管理事务（项）：</w:t>
      </w:r>
      <w:r>
        <w:rPr>
          <w:rFonts w:hint="eastAsia" w:ascii="仿宋_GB2312" w:hAnsi="宋体" w:eastAsia="仿宋_GB2312" w:cs="宋体"/>
          <w:color w:val="000000"/>
          <w:kern w:val="0"/>
          <w:sz w:val="32"/>
          <w:szCs w:val="32"/>
        </w:rPr>
        <w:t>反映行政单位（包括实行公务员管理的事业单位）未单独设置项级科目的其他项目支出。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11.社会保障和就业支出（类）行政事业单位离退休（款）归口管理的事业单位离退休（项）：反映实行归口管理的行政单位（包括实行公务员管理的事业单位）开支的离退休经费。</w:t>
      </w:r>
    </w:p>
    <w:p>
      <w:pPr>
        <w:widowControl/>
        <w:spacing w:before="100" w:beforeAutospacing="1" w:after="100" w:afterAutospacing="1" w:line="378" w:lineRule="atLeast"/>
        <w:ind w:firstLine="640"/>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12.社会保障和就业支出（类）行政事业单位离退休（款）事业单位离退休（项）：反映实行归口管理的事业单位开支的离退休经费。</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13.医疗卫生（类）医疗保障（款）行政单位医疗（项）：反映财政部门集中安排的行政单位基本医疗保险缴费经费，未参加医疗保险的行政单位的公费医疗经费，按国家规定享受离休人员、红军老战士待遇人员的医疗经费。</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14.医疗卫生（类）医疗保障（款）事业单位医疗（项）：反映财政部门集中安排的行政单位基本医疗保险缴费经费，未参加医疗保险的行政单位的公费医疗经费，按国家规定享受离休人员、红军老战士待遇人员的医疗经费。</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15.资源勘探信息等支出（类）工业和信息产业监管（款）其他工业和信息产业监管支出（项）：反映除上述项目以外其他用于工业和信息产业监管方面的支出。</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16.住房保障（类）住房改革（款）住房公积金（项）：反映行政事业单位按人力资源和社会保障部、财政部规定的基本工资和津贴补贴以及规定比例为职工缴纳的住房公积金。</w:t>
      </w:r>
    </w:p>
    <w:p>
      <w:pPr>
        <w:widowControl/>
        <w:spacing w:before="100" w:beforeAutospacing="1" w:after="100" w:afterAutospacing="1" w:line="378" w:lineRule="atLeast"/>
        <w:ind w:firstLine="643"/>
        <w:jc w:val="left"/>
        <w:rPr>
          <w:rFonts w:ascii="宋体" w:hAnsi="宋体" w:eastAsia="宋体" w:cs="宋体"/>
          <w:color w:val="222222"/>
          <w:kern w:val="0"/>
          <w:sz w:val="24"/>
          <w:szCs w:val="24"/>
        </w:rPr>
      </w:pPr>
      <w:r>
        <w:rPr>
          <w:rFonts w:hint="eastAsia" w:ascii="仿宋_GB2312" w:hAnsi="宋体" w:eastAsia="仿宋_GB2312" w:cs="宋体"/>
          <w:color w:val="000000"/>
          <w:kern w:val="0"/>
          <w:sz w:val="32"/>
          <w:szCs w:val="32"/>
        </w:rPr>
        <w:t>17.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兰亭超细黑简体">
    <w:panose1 w:val="02000000000000000000"/>
    <w:charset w:val="86"/>
    <w:family w:val="auto"/>
    <w:pitch w:val="default"/>
    <w:sig w:usb0="00000001" w:usb1="0800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 w:name="Batang">
    <w:panose1 w:val="02030600000101010101"/>
    <w:charset w:val="81"/>
    <w:family w:val="auto"/>
    <w:pitch w:val="default"/>
    <w:sig w:usb0="B00002AF" w:usb1="69D77CFB" w:usb2="00000030" w:usb3="00000000" w:csb0="4008009F" w:csb1="DFD70000"/>
  </w:font>
  <w:font w:name="仿宋_GB2312">
    <w:altName w:val="仿宋"/>
    <w:panose1 w:val="00000000000000000000"/>
    <w:charset w:val="00"/>
    <w:family w:val="auto"/>
    <w:pitch w:val="default"/>
    <w:sig w:usb0="00000000" w:usb1="00000000" w:usb2="00000000" w:usb3="00000000" w:csb0="00000000" w:csb1="00000000"/>
  </w:font>
  <w:font w:name="叶根友毛笔行书2.0版">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965E3D9"/>
    <w:multiLevelType w:val="singleLevel"/>
    <w:tmpl w:val="E965E3D9"/>
    <w:lvl w:ilvl="0" w:tentative="0">
      <w:start w:val="9"/>
      <w:numFmt w:val="decimal"/>
      <w:lvlText w:val="%1."/>
      <w:lvlJc w:val="left"/>
      <w:pPr>
        <w:tabs>
          <w:tab w:val="left" w:pos="312"/>
        </w:tabs>
      </w:pPr>
    </w:lvl>
  </w:abstractNum>
  <w:abstractNum w:abstractNumId="1">
    <w:nsid w:val="2F6AEC90"/>
    <w:multiLevelType w:val="singleLevel"/>
    <w:tmpl w:val="2F6AEC90"/>
    <w:lvl w:ilvl="0" w:tentative="0">
      <w:start w:val="3"/>
      <w:numFmt w:val="decimal"/>
      <w:lvlText w:val="%1."/>
      <w:lvlJc w:val="left"/>
      <w:pPr>
        <w:tabs>
          <w:tab w:val="left" w:pos="312"/>
        </w:tabs>
      </w:pPr>
    </w:lvl>
  </w:abstractNum>
  <w:abstractNum w:abstractNumId="2">
    <w:nsid w:val="4E6F44CF"/>
    <w:multiLevelType w:val="multilevel"/>
    <w:tmpl w:val="4E6F44CF"/>
    <w:lvl w:ilvl="0" w:tentative="0">
      <w:start w:val="1"/>
      <w:numFmt w:val="decimal"/>
      <w:lvlText w:val="%1."/>
      <w:lvlJc w:val="left"/>
      <w:pPr>
        <w:tabs>
          <w:tab w:val="left" w:pos="435"/>
        </w:tabs>
        <w:ind w:left="435" w:hanging="435"/>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7630A7F7"/>
    <w:multiLevelType w:val="singleLevel"/>
    <w:tmpl w:val="7630A7F7"/>
    <w:lvl w:ilvl="0" w:tentative="0">
      <w:start w:val="1"/>
      <w:numFmt w:val="chineseCounting"/>
      <w:suff w:val="nothing"/>
      <w:lvlText w:val="%1、"/>
      <w:lvlJc w:val="left"/>
      <w:pPr>
        <w:ind w:left="640" w:leftChars="0" w:firstLine="0" w:firstLineChars="0"/>
      </w:pPr>
      <w:rPr>
        <w:rFonts w:hint="eastAsia"/>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2E3Y2ZjZGI4NTE5YjJlNjE2YWVjNGZlNTBjOWIyNjAifQ=="/>
  </w:docVars>
  <w:rsids>
    <w:rsidRoot w:val="00D974F8"/>
    <w:rsid w:val="004B24F8"/>
    <w:rsid w:val="004C18B3"/>
    <w:rsid w:val="004F7A0F"/>
    <w:rsid w:val="005313A2"/>
    <w:rsid w:val="00630D11"/>
    <w:rsid w:val="006833D4"/>
    <w:rsid w:val="006A5E8A"/>
    <w:rsid w:val="006C4F6F"/>
    <w:rsid w:val="007F2128"/>
    <w:rsid w:val="008B0D3C"/>
    <w:rsid w:val="00C85F20"/>
    <w:rsid w:val="00D227BF"/>
    <w:rsid w:val="00D974F8"/>
    <w:rsid w:val="00DB5876"/>
    <w:rsid w:val="00F30A3C"/>
    <w:rsid w:val="00F30B39"/>
    <w:rsid w:val="01F52AA4"/>
    <w:rsid w:val="050339CA"/>
    <w:rsid w:val="062005AC"/>
    <w:rsid w:val="06546654"/>
    <w:rsid w:val="0687687D"/>
    <w:rsid w:val="0B9F7221"/>
    <w:rsid w:val="0D1B46BD"/>
    <w:rsid w:val="103E61FE"/>
    <w:rsid w:val="13FF7A53"/>
    <w:rsid w:val="15AC738F"/>
    <w:rsid w:val="16481B85"/>
    <w:rsid w:val="18C60961"/>
    <w:rsid w:val="1D886D0B"/>
    <w:rsid w:val="21F2713B"/>
    <w:rsid w:val="22975239"/>
    <w:rsid w:val="22EF482D"/>
    <w:rsid w:val="2450311A"/>
    <w:rsid w:val="248843EB"/>
    <w:rsid w:val="279B588D"/>
    <w:rsid w:val="28006CEE"/>
    <w:rsid w:val="28100029"/>
    <w:rsid w:val="2A9A007E"/>
    <w:rsid w:val="2D314CC9"/>
    <w:rsid w:val="2E731311"/>
    <w:rsid w:val="317A4765"/>
    <w:rsid w:val="322B6EFB"/>
    <w:rsid w:val="35D22DC1"/>
    <w:rsid w:val="39F84F46"/>
    <w:rsid w:val="3AE55345"/>
    <w:rsid w:val="3AE9159E"/>
    <w:rsid w:val="3BAC5B43"/>
    <w:rsid w:val="3D4F4CF8"/>
    <w:rsid w:val="3D61234F"/>
    <w:rsid w:val="3DB42DAD"/>
    <w:rsid w:val="3F9C2EFE"/>
    <w:rsid w:val="402C3062"/>
    <w:rsid w:val="41B63597"/>
    <w:rsid w:val="453F3B0F"/>
    <w:rsid w:val="45667082"/>
    <w:rsid w:val="4B726781"/>
    <w:rsid w:val="4C063EAC"/>
    <w:rsid w:val="4C1123BF"/>
    <w:rsid w:val="4D935187"/>
    <w:rsid w:val="54156484"/>
    <w:rsid w:val="542D392E"/>
    <w:rsid w:val="54661945"/>
    <w:rsid w:val="552C7214"/>
    <w:rsid w:val="554967A4"/>
    <w:rsid w:val="575977B6"/>
    <w:rsid w:val="57DC7774"/>
    <w:rsid w:val="59997EAD"/>
    <w:rsid w:val="59E92304"/>
    <w:rsid w:val="5B914A01"/>
    <w:rsid w:val="5D086F45"/>
    <w:rsid w:val="61D56ECF"/>
    <w:rsid w:val="622C5209"/>
    <w:rsid w:val="6423630F"/>
    <w:rsid w:val="66070481"/>
    <w:rsid w:val="6A0D74CA"/>
    <w:rsid w:val="6BA107F2"/>
    <w:rsid w:val="6FEA072C"/>
    <w:rsid w:val="71125845"/>
    <w:rsid w:val="739F597A"/>
    <w:rsid w:val="75D94B83"/>
    <w:rsid w:val="77976AA4"/>
    <w:rsid w:val="78A92DEB"/>
    <w:rsid w:val="794B6EAC"/>
    <w:rsid w:val="795A2310"/>
    <w:rsid w:val="7A991352"/>
    <w:rsid w:val="7C5D75ED"/>
    <w:rsid w:val="7F2B49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Normal Indent"/>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3">
    <w:name w:val="footer"/>
    <w:basedOn w:val="1"/>
    <w:link w:val="8"/>
    <w:semiHidden/>
    <w:unhideWhenUsed/>
    <w:qFormat/>
    <w:uiPriority w:val="99"/>
    <w:pPr>
      <w:tabs>
        <w:tab w:val="center" w:pos="4153"/>
        <w:tab w:val="right" w:pos="8306"/>
      </w:tabs>
      <w:snapToGrid w:val="0"/>
      <w:jc w:val="left"/>
    </w:pPr>
    <w:rPr>
      <w:sz w:val="18"/>
      <w:szCs w:val="18"/>
    </w:rPr>
  </w:style>
  <w:style w:type="paragraph" w:styleId="4">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semiHidden/>
    <w:qFormat/>
    <w:uiPriority w:val="99"/>
    <w:rPr>
      <w:sz w:val="18"/>
      <w:szCs w:val="18"/>
    </w:rPr>
  </w:style>
  <w:style w:type="character" w:customStyle="1" w:styleId="8">
    <w:name w:val="页脚 Char"/>
    <w:basedOn w:val="6"/>
    <w:link w:val="3"/>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19</Pages>
  <Words>7744</Words>
  <Characters>8149</Characters>
  <Lines>29</Lines>
  <Paragraphs>8</Paragraphs>
  <TotalTime>1</TotalTime>
  <ScaleCrop>false</ScaleCrop>
  <LinksUpToDate>false</LinksUpToDate>
  <CharactersWithSpaces>8322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2022-07-11T08:55:00Z</dcterms:created>
  <dc:creator>Windows 用户</dc:creator>
  <cp:lastModifiedBy>lenovo</cp:lastModifiedBy>
  <dcterms:modified xsi:type="dcterms:W3CDTF">2023-07-20T03:03:16Z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1F152BD217534E1598573503A94F56AA_12</vt:lpwstr>
  </property>
</Properties>
</file>