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</w:pPr>
      <w:bookmarkStart w:id="0" w:name="_GoBack"/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调兵山市财政局多举措筑牢网络风险防控屏障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在数字化转型加速的当下，网络安全已成为保障财政业务稳健运行的关键防线。调兵山市财政局深刻认识到这一重要性，积极主动作为，多管齐下全面加强网络风险防控工作，为财政领域的安全稳定提供坚实保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一、健全网络安全管理机制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调兵山市财政局成立了由主要领导挂帅的网络安全工作领导小组，明确各成员职责，形成了一把手亲自抓、分管领导具体抓、相关股室协同抓的工作格局，确保网络安全工作责任层层压实。同时，结合财政工作实际，制定并完善了一系列网络安全管理制度，如《财政网络安全管理办法》《信息系统应急处置预案》等，对网络访问权限、数据备份与恢复、网络安全事件报告等方面做出细致规定，使网络安全管理有章可循、规范有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二、强化网络安全技术防护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为提升网络安全防护能力，财政局定期进行网络安全漏洞扫描，及时发现并修复系统漏洞，确保财政信息系统安全稳定运行。针对财政专网与互联网严格实行物理隔离，杜绝因网络连接不当导致的安全风险，保障财政数据的保密性、完整性和可用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三、开展网络安全宣传教育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财政局将网络安全宣传教育作为提升全员网络安全意识的重要抓手。3月7日组织全体干部职工参加网络安全知识培训，通过理论讲解与实际案例分析相结合的方式，增强干部职工的网络安全意识和防范能力。同时，充分利用电子显示屏，广泛宣传网络安全知识，营造浓厚的网络安全宣传氛围，引导干部职工养成良好的网络安全习惯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ZkODYxOTQ1OWM4MDNmNmY5ODg0NDJhMDczNjAzMDYifQ=="/>
  </w:docVars>
  <w:rsids>
    <w:rsidRoot w:val="00000000"/>
    <w:rsid w:val="09B85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2025-03-14T07:46:21Z</dcterms:created>
  <dc:creator>Administrator</dc:creator>
  <cp:lastModifiedBy>财政局总收发</cp:lastModifiedBy>
  <dcterms:modified xsi:type="dcterms:W3CDTF">2025-03-14T07:46:44Z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31AF1236ADB5469487C25F91366C2F3D_12</vt:lpwstr>
  </property>
</Properties>
</file>